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91B76" w14:textId="61198A1C" w:rsidR="0094184B" w:rsidRPr="00F64F1B" w:rsidRDefault="0094184B" w:rsidP="0094184B">
      <w:pPr>
        <w:spacing w:line="276" w:lineRule="auto"/>
        <w:contextualSpacing/>
        <w:rPr>
          <w:bCs/>
          <w:szCs w:val="18"/>
          <w:lang w:val="lt-LT"/>
        </w:rPr>
      </w:pPr>
      <w:r w:rsidRPr="00F64F1B">
        <w:rPr>
          <w:bCs/>
          <w:szCs w:val="18"/>
          <w:lang w:val="lt-LT"/>
        </w:rPr>
        <w:t>2025 m. lapkričio 13 d.</w:t>
      </w:r>
      <w:r w:rsidRPr="00F64F1B">
        <w:rPr>
          <w:bCs/>
          <w:szCs w:val="18"/>
          <w:lang w:val="lt-LT"/>
        </w:rPr>
        <w:br/>
      </w:r>
      <w:r w:rsidRPr="00F64F1B">
        <w:rPr>
          <w:bCs/>
          <w:szCs w:val="18"/>
          <w:lang w:val="lt-LT"/>
        </w:rPr>
        <w:br/>
        <w:t>Roto grupė auga sparčiau nei rinka Europos Sąjungos šalyse ir Šiaurės Amerikoje / rinkos dalies augimas dėl operatyvumo / naujas verslo modelis Kinijoje / sumažėjusi paklausa Pietų Amerikoje / grupės stabilumas išlieka aukštas / vien</w:t>
      </w:r>
      <w:r w:rsidR="00F64F1B">
        <w:rPr>
          <w:bCs/>
          <w:szCs w:val="18"/>
          <w:lang w:val="lt-LT"/>
        </w:rPr>
        <w:t>a</w:t>
      </w:r>
      <w:r w:rsidRPr="00F64F1B">
        <w:rPr>
          <w:bCs/>
          <w:szCs w:val="18"/>
          <w:lang w:val="lt-LT"/>
        </w:rPr>
        <w:t>ženklis nuosmukis grupės grynajame pardavime 2025 m.</w:t>
      </w:r>
      <w:r w:rsidRPr="00F64F1B">
        <w:rPr>
          <w:bCs/>
          <w:szCs w:val="18"/>
          <w:lang w:val="lt-LT"/>
        </w:rPr>
        <w:br/>
      </w:r>
      <w:r w:rsidRPr="00F64F1B">
        <w:rPr>
          <w:bCs/>
          <w:szCs w:val="18"/>
          <w:lang w:val="lt-LT"/>
        </w:rPr>
        <w:br/>
      </w:r>
    </w:p>
    <w:p w14:paraId="1E17EADA" w14:textId="248B27DA" w:rsidR="0094184B" w:rsidRDefault="0094184B" w:rsidP="0094184B">
      <w:pPr>
        <w:spacing w:line="276" w:lineRule="auto"/>
        <w:contextualSpacing/>
        <w:rPr>
          <w:bCs/>
          <w:szCs w:val="18"/>
          <w:lang w:val="lt-LT"/>
        </w:rPr>
      </w:pPr>
      <w:r w:rsidRPr="00F64F1B">
        <w:rPr>
          <w:bCs/>
          <w:szCs w:val="18"/>
          <w:lang w:val="lt-LT"/>
        </w:rPr>
        <w:t>Kalnų treniruotė su priešiniu vėjui</w:t>
      </w:r>
      <w:r w:rsidRPr="00F64F1B">
        <w:rPr>
          <w:bCs/>
          <w:szCs w:val="18"/>
          <w:lang w:val="lt-LT"/>
        </w:rPr>
        <w:br/>
      </w:r>
      <w:r w:rsidRPr="00F64F1B">
        <w:rPr>
          <w:bCs/>
          <w:szCs w:val="18"/>
          <w:lang w:val="lt-LT"/>
        </w:rPr>
        <w:br/>
      </w:r>
      <w:r w:rsidRPr="0094184B">
        <w:rPr>
          <w:bCs/>
          <w:szCs w:val="18"/>
          <w:lang w:val="lt-LT"/>
        </w:rPr>
        <w:t xml:space="preserve">Varšuva / </w:t>
      </w:r>
      <w:proofErr w:type="spellStart"/>
      <w:r w:rsidRPr="00993B47">
        <w:rPr>
          <w:bCs/>
          <w:szCs w:val="18"/>
          <w:lang w:val="lt-LT"/>
        </w:rPr>
        <w:t>Leinfelden-Echterdingen</w:t>
      </w:r>
      <w:proofErr w:type="spellEnd"/>
      <w:r w:rsidRPr="0094184B">
        <w:rPr>
          <w:bCs/>
          <w:szCs w:val="18"/>
          <w:lang w:val="lt-LT"/>
        </w:rPr>
        <w:t xml:space="preserve"> – „2025 finansiniai metai vėl </w:t>
      </w:r>
      <w:r w:rsidR="000F2F70">
        <w:rPr>
          <w:bCs/>
          <w:szCs w:val="18"/>
          <w:lang w:val="lt-LT"/>
        </w:rPr>
        <w:t>kelia didelius reikalavimus</w:t>
      </w:r>
      <w:r w:rsidRPr="0094184B">
        <w:rPr>
          <w:bCs/>
          <w:szCs w:val="18"/>
          <w:lang w:val="lt-LT"/>
        </w:rPr>
        <w:t xml:space="preserve"> Roto, tačiau visi padaliniai sėkmingai įveikė iššūkius. Iš kur aš tai žinau? Vienaženklis pardavimų mažėjimas šiais metais yra gera </w:t>
      </w:r>
      <w:r w:rsidR="00A7421E">
        <w:rPr>
          <w:bCs/>
          <w:szCs w:val="18"/>
          <w:lang w:val="lt-LT"/>
        </w:rPr>
        <w:t>žinia</w:t>
      </w:r>
      <w:r w:rsidRPr="0094184B">
        <w:rPr>
          <w:bCs/>
          <w:szCs w:val="18"/>
          <w:lang w:val="lt-LT"/>
        </w:rPr>
        <w:t xml:space="preserve"> bet kuriai tarptautinei „</w:t>
      </w:r>
      <w:r w:rsidR="00E37C1F">
        <w:rPr>
          <w:bCs/>
          <w:szCs w:val="18"/>
          <w:lang w:val="lt-LT"/>
        </w:rPr>
        <w:t>s</w:t>
      </w:r>
      <w:r w:rsidRPr="0094184B">
        <w:rPr>
          <w:bCs/>
          <w:szCs w:val="18"/>
          <w:lang w:val="lt-LT"/>
        </w:rPr>
        <w:t xml:space="preserve">enajai ekonomikai“ priklausančiai įmonei. </w:t>
      </w:r>
      <w:r w:rsidR="00435003" w:rsidRPr="00A7421E">
        <w:rPr>
          <w:lang w:val="lt-LT"/>
        </w:rPr>
        <w:t>Tai sėkmingo darbo ir strategijos rezultatas</w:t>
      </w:r>
      <w:r w:rsidRPr="0094184B">
        <w:rPr>
          <w:bCs/>
          <w:szCs w:val="18"/>
          <w:lang w:val="lt-LT"/>
        </w:rPr>
        <w:t xml:space="preserve">.“ Šiuo pozityviu apibendrinimu </w:t>
      </w:r>
      <w:proofErr w:type="spellStart"/>
      <w:r w:rsidRPr="00993B47">
        <w:rPr>
          <w:bCs/>
          <w:szCs w:val="18"/>
          <w:lang w:val="lt-LT"/>
        </w:rPr>
        <w:t>Christoph</w:t>
      </w:r>
      <w:proofErr w:type="spellEnd"/>
      <w:r w:rsidRPr="00993B47">
        <w:rPr>
          <w:bCs/>
          <w:szCs w:val="18"/>
          <w:lang w:val="lt-LT"/>
        </w:rPr>
        <w:t xml:space="preserve"> </w:t>
      </w:r>
      <w:proofErr w:type="spellStart"/>
      <w:r w:rsidRPr="00993B47">
        <w:rPr>
          <w:bCs/>
          <w:szCs w:val="18"/>
          <w:lang w:val="lt-LT"/>
        </w:rPr>
        <w:t>Hugenberg</w:t>
      </w:r>
      <w:proofErr w:type="spellEnd"/>
      <w:r w:rsidRPr="0094184B">
        <w:rPr>
          <w:bCs/>
          <w:szCs w:val="18"/>
          <w:lang w:val="lt-LT"/>
        </w:rPr>
        <w:t xml:space="preserve"> pradėjo savo pranešimą apie Roto grupės plėtrą einamaisiais finansiniais metais</w:t>
      </w:r>
      <w:r>
        <w:rPr>
          <w:bCs/>
          <w:szCs w:val="18"/>
          <w:lang w:val="lt-LT"/>
        </w:rPr>
        <w:t>,</w:t>
      </w:r>
      <w:r w:rsidRPr="0094184B">
        <w:rPr>
          <w:bCs/>
          <w:szCs w:val="18"/>
          <w:lang w:val="lt-LT"/>
        </w:rPr>
        <w:t xml:space="preserve"> 20</w:t>
      </w:r>
      <w:r>
        <w:rPr>
          <w:bCs/>
          <w:szCs w:val="18"/>
          <w:lang w:val="lt-LT"/>
        </w:rPr>
        <w:t>-toje</w:t>
      </w:r>
      <w:r w:rsidRPr="0094184B">
        <w:rPr>
          <w:bCs/>
          <w:szCs w:val="18"/>
          <w:lang w:val="lt-LT"/>
        </w:rPr>
        <w:t xml:space="preserve"> </w:t>
      </w:r>
      <w:r>
        <w:rPr>
          <w:bCs/>
          <w:szCs w:val="18"/>
          <w:lang w:val="lt-LT"/>
        </w:rPr>
        <w:t>t</w:t>
      </w:r>
      <w:r w:rsidRPr="0094184B">
        <w:rPr>
          <w:bCs/>
          <w:szCs w:val="18"/>
          <w:lang w:val="lt-LT"/>
        </w:rPr>
        <w:t>arptautin</w:t>
      </w:r>
      <w:r w:rsidR="00F64F1B">
        <w:rPr>
          <w:bCs/>
          <w:szCs w:val="18"/>
          <w:lang w:val="lt-LT"/>
        </w:rPr>
        <w:t>ėje</w:t>
      </w:r>
      <w:r w:rsidRPr="0094184B">
        <w:rPr>
          <w:bCs/>
          <w:szCs w:val="18"/>
          <w:lang w:val="lt-LT"/>
        </w:rPr>
        <w:t xml:space="preserve"> specializuotos spaudos </w:t>
      </w:r>
      <w:r w:rsidR="00435003" w:rsidRPr="00A7421E">
        <w:rPr>
          <w:lang w:val="lt-LT"/>
        </w:rPr>
        <w:t>konferencijoje</w:t>
      </w:r>
      <w:r>
        <w:rPr>
          <w:bCs/>
          <w:szCs w:val="18"/>
          <w:lang w:val="lt-LT"/>
        </w:rPr>
        <w:t xml:space="preserve"> </w:t>
      </w:r>
      <w:r w:rsidRPr="0094184B">
        <w:rPr>
          <w:bCs/>
          <w:szCs w:val="18"/>
          <w:lang w:val="lt-LT"/>
        </w:rPr>
        <w:t xml:space="preserve">Varšuvoje. </w:t>
      </w:r>
      <w:proofErr w:type="spellStart"/>
      <w:r w:rsidRPr="00993B47">
        <w:rPr>
          <w:bCs/>
          <w:szCs w:val="18"/>
          <w:lang w:val="lt-LT"/>
        </w:rPr>
        <w:t>Hugenberg</w:t>
      </w:r>
      <w:proofErr w:type="spellEnd"/>
      <w:r w:rsidRPr="00993B47">
        <w:rPr>
          <w:bCs/>
          <w:szCs w:val="18"/>
          <w:lang w:val="lt-LT"/>
        </w:rPr>
        <w:t xml:space="preserve"> </w:t>
      </w:r>
      <w:r w:rsidRPr="0094184B">
        <w:rPr>
          <w:bCs/>
          <w:szCs w:val="18"/>
          <w:lang w:val="lt-LT"/>
        </w:rPr>
        <w:t xml:space="preserve">pirmą kartą kalbėjo kaip Roto </w:t>
      </w:r>
      <w:proofErr w:type="spellStart"/>
      <w:r w:rsidRPr="00993B47">
        <w:rPr>
          <w:bCs/>
          <w:szCs w:val="18"/>
          <w:lang w:val="lt-LT"/>
        </w:rPr>
        <w:t>Frank</w:t>
      </w:r>
      <w:proofErr w:type="spellEnd"/>
      <w:r w:rsidRPr="00993B47">
        <w:rPr>
          <w:bCs/>
          <w:szCs w:val="18"/>
          <w:lang w:val="lt-LT"/>
        </w:rPr>
        <w:t xml:space="preserve"> </w:t>
      </w:r>
      <w:proofErr w:type="spellStart"/>
      <w:r w:rsidRPr="00993B47">
        <w:rPr>
          <w:bCs/>
          <w:szCs w:val="18"/>
          <w:lang w:val="lt-LT"/>
        </w:rPr>
        <w:t>Holding</w:t>
      </w:r>
      <w:proofErr w:type="spellEnd"/>
      <w:r w:rsidRPr="0094184B">
        <w:rPr>
          <w:bCs/>
          <w:szCs w:val="18"/>
          <w:lang w:val="lt-LT"/>
        </w:rPr>
        <w:t xml:space="preserve"> AG valdybos narys.</w:t>
      </w:r>
      <w:r>
        <w:rPr>
          <w:bCs/>
          <w:szCs w:val="18"/>
          <w:lang w:val="lt-LT"/>
        </w:rPr>
        <w:t xml:space="preserve"> </w:t>
      </w:r>
      <w:r w:rsidRPr="0094184B">
        <w:rPr>
          <w:bCs/>
          <w:szCs w:val="18"/>
          <w:lang w:val="lt-LT"/>
        </w:rPr>
        <w:t>Entuziastingas sportininkas apibūdino dabartinius iššūkius remdamasis asmenine patirtimi: „Sunku, kai turi iš visų jėgų stengtis važiuodamas dviračiu į kalną, lyjant lietui ir pučiant priešiniam vėjui. Bet taip pat ypač malonu, kai sunkiomis sąlygomis vis dėlto pasieki savo tikslą ir pasieki asmeninį rekordą.“</w:t>
      </w:r>
    </w:p>
    <w:p w14:paraId="42888407" w14:textId="77777777" w:rsidR="00A7421E" w:rsidRDefault="00A7421E" w:rsidP="0094184B">
      <w:pPr>
        <w:spacing w:line="276" w:lineRule="auto"/>
        <w:contextualSpacing/>
        <w:rPr>
          <w:bCs/>
          <w:szCs w:val="18"/>
          <w:lang w:val="lt-LT"/>
        </w:rPr>
      </w:pPr>
    </w:p>
    <w:p w14:paraId="0FFB4586" w14:textId="77777777" w:rsidR="00780845" w:rsidRDefault="00780845" w:rsidP="0041171F">
      <w:pPr>
        <w:spacing w:line="276" w:lineRule="auto"/>
        <w:contextualSpacing/>
        <w:rPr>
          <w:bCs/>
          <w:szCs w:val="18"/>
          <w:lang w:val="lt-LT"/>
        </w:rPr>
      </w:pPr>
    </w:p>
    <w:p w14:paraId="30C86730" w14:textId="77777777" w:rsidR="0094184B" w:rsidRPr="0094184B" w:rsidRDefault="0094184B" w:rsidP="0094184B">
      <w:pPr>
        <w:spacing w:line="276" w:lineRule="auto"/>
        <w:contextualSpacing/>
        <w:rPr>
          <w:b/>
          <w:szCs w:val="18"/>
          <w:lang w:val="lt-LT"/>
        </w:rPr>
      </w:pPr>
      <w:r w:rsidRPr="0094184B">
        <w:rPr>
          <w:b/>
          <w:szCs w:val="18"/>
          <w:lang w:val="lt-LT"/>
        </w:rPr>
        <w:t>Nugalėtojai ir pralaimėtojai</w:t>
      </w:r>
    </w:p>
    <w:p w14:paraId="6160DC37" w14:textId="5F2C8628" w:rsidR="0094184B" w:rsidRPr="0094184B" w:rsidRDefault="0094184B" w:rsidP="0094184B">
      <w:pPr>
        <w:spacing w:line="276" w:lineRule="auto"/>
        <w:contextualSpacing/>
        <w:rPr>
          <w:bCs/>
          <w:szCs w:val="18"/>
          <w:lang w:val="lt-LT"/>
        </w:rPr>
      </w:pPr>
      <w:r w:rsidRPr="0094184B">
        <w:rPr>
          <w:bCs/>
          <w:szCs w:val="18"/>
          <w:lang w:val="lt-LT"/>
        </w:rPr>
        <w:t>Bet kuriuo atveju, palyginti su praėjusiais metais, vienu skaitmeniu sumažėjęs grupės gryn</w:t>
      </w:r>
      <w:r>
        <w:rPr>
          <w:bCs/>
          <w:szCs w:val="18"/>
          <w:lang w:val="lt-LT"/>
        </w:rPr>
        <w:t xml:space="preserve">oji </w:t>
      </w:r>
      <w:r w:rsidRPr="0094184B">
        <w:rPr>
          <w:bCs/>
          <w:szCs w:val="18"/>
          <w:lang w:val="lt-LT"/>
        </w:rPr>
        <w:t xml:space="preserve"> apyvarta yra kelių rinkų didelių apyvartos nuostolių rezultatas. Europos Sąjungos šalyse ir JAV Roto beveik visur sugebėjo pasiekti nedidelį apyvartos augimą, tačiau tai negalėjo visiškai kompensuoti nuostolių kitose pasaulio dalyse. „Mes numatėme šią tendenciją ir atitinkamai planavome 2025 m. Todėl Roto grupė išvengė tikrai nemalonių staigmenų. Pavyko išvengti didelių taupymo programų ir sumažinimų.“ Visos metams numatytos investicijos yra „paskutiniame etape“, o visoms kitoms skaitmeninimo ir automatizavimo iniciatyvoms „šviesoforas rodo žalią šviesą“. Roto yra pajėgi įgyvendinti visus klientams svarbius pokyčius produktų kūrimo ir tiekimo grandinės procesuose.</w:t>
      </w:r>
    </w:p>
    <w:p w14:paraId="5C1F4E20" w14:textId="77777777" w:rsidR="00334224" w:rsidRDefault="00334224" w:rsidP="0041171F">
      <w:pPr>
        <w:spacing w:line="276" w:lineRule="auto"/>
        <w:contextualSpacing/>
        <w:rPr>
          <w:b/>
          <w:bCs/>
          <w:szCs w:val="18"/>
          <w:lang w:val="lt-LT"/>
        </w:rPr>
      </w:pPr>
    </w:p>
    <w:p w14:paraId="50B9D628" w14:textId="0FA356E4" w:rsidR="005400B7" w:rsidRPr="005400B7" w:rsidRDefault="005400B7" w:rsidP="005400B7">
      <w:pPr>
        <w:spacing w:line="276" w:lineRule="auto"/>
        <w:rPr>
          <w:b/>
          <w:bCs/>
          <w:szCs w:val="18"/>
          <w:lang w:val="lt-LT"/>
        </w:rPr>
      </w:pPr>
      <w:r w:rsidRPr="005400B7">
        <w:rPr>
          <w:b/>
          <w:bCs/>
          <w:szCs w:val="18"/>
          <w:lang w:val="lt-LT"/>
        </w:rPr>
        <w:t>Galėjo būti ir daugiau</w:t>
      </w:r>
    </w:p>
    <w:p w14:paraId="19B51852" w14:textId="1B6645B0" w:rsidR="004C2944" w:rsidRDefault="00E25678" w:rsidP="00E25678">
      <w:pPr>
        <w:spacing w:line="276" w:lineRule="auto"/>
        <w:rPr>
          <w:szCs w:val="18"/>
          <w:lang w:val="lt-LT"/>
        </w:rPr>
      </w:pPr>
      <w:r w:rsidRPr="00E25678">
        <w:rPr>
          <w:szCs w:val="18"/>
          <w:lang w:val="lt-LT"/>
        </w:rPr>
        <w:t xml:space="preserve">Atsižvelgdamas į trijų Roto padalinių apyvartą einamaisiais finansiniais metais, </w:t>
      </w:r>
      <w:proofErr w:type="spellStart"/>
      <w:r w:rsidRPr="00993B47">
        <w:rPr>
          <w:szCs w:val="18"/>
          <w:lang w:val="lt-LT"/>
        </w:rPr>
        <w:t>Hugenberg</w:t>
      </w:r>
      <w:proofErr w:type="spellEnd"/>
      <w:r w:rsidRPr="00993B47">
        <w:rPr>
          <w:szCs w:val="18"/>
          <w:lang w:val="lt-LT"/>
        </w:rPr>
        <w:t xml:space="preserve"> </w:t>
      </w:r>
      <w:r w:rsidRPr="00E25678">
        <w:rPr>
          <w:szCs w:val="18"/>
          <w:lang w:val="lt-LT"/>
        </w:rPr>
        <w:t>paaiškino: „Galėjo būti ir daugiau, jei politikai būtų pavykę sušvelninti geopolitinius konfliktus.“ Tačiau net ir be tikėtino teigiamo impulso vartotojų pasitikėjimui, ES šalyse ir Šiaurės Amerikoje buvo pastebimas nedidelis augimas. „Profesionalūs investuotojai, kaip ir savivaldybės, vykdo savo statybos užduotis ir naudojasi stabiliomis palūkanų normomis. Tuo pačiu metu tarp Roto padalinių klientų yra ypač daug tokių, kurie, naudodami protingus verslo modelius, modernius produktus ir visapusiškas paslaugas, pasiekia gerą įmonių konjunktūrą rinkoje. Roto jiems teikiamos paslaugos turėtų turėti bent nedidelę įtaką šia</w:t>
      </w:r>
      <w:r>
        <w:rPr>
          <w:szCs w:val="18"/>
          <w:lang w:val="lt-LT"/>
        </w:rPr>
        <w:t>i</w:t>
      </w:r>
      <w:r w:rsidRPr="00E25678">
        <w:rPr>
          <w:szCs w:val="18"/>
          <w:lang w:val="lt-LT"/>
        </w:rPr>
        <w:t xml:space="preserve"> sėkmei“, – </w:t>
      </w:r>
      <w:proofErr w:type="spellStart"/>
      <w:r w:rsidRPr="00993B47">
        <w:rPr>
          <w:szCs w:val="18"/>
          <w:lang w:val="lt-LT"/>
        </w:rPr>
        <w:t>Hugenberg</w:t>
      </w:r>
      <w:proofErr w:type="spellEnd"/>
      <w:r w:rsidRPr="00E25678">
        <w:rPr>
          <w:szCs w:val="18"/>
          <w:lang w:val="lt-LT"/>
        </w:rPr>
        <w:t xml:space="preserve"> atkreipė dėmesį į temą, kuri buvo aptarta vėlesniuose trijų Roto padalinių pranešimuose.</w:t>
      </w:r>
    </w:p>
    <w:p w14:paraId="083AEAFF" w14:textId="77777777" w:rsidR="00E25678" w:rsidRDefault="00E25678" w:rsidP="0041171F">
      <w:pPr>
        <w:spacing w:line="276" w:lineRule="auto"/>
        <w:rPr>
          <w:szCs w:val="18"/>
          <w:lang w:val="lt-LT"/>
        </w:rPr>
      </w:pPr>
    </w:p>
    <w:p w14:paraId="00227E9B" w14:textId="77777777" w:rsidR="00E25678" w:rsidRPr="00E25678" w:rsidRDefault="00E25678" w:rsidP="00E25678">
      <w:pPr>
        <w:spacing w:line="276" w:lineRule="auto"/>
        <w:rPr>
          <w:b/>
          <w:bCs/>
          <w:szCs w:val="18"/>
          <w:lang w:val="lt-LT"/>
        </w:rPr>
      </w:pPr>
      <w:r w:rsidRPr="00E25678">
        <w:rPr>
          <w:b/>
          <w:bCs/>
          <w:szCs w:val="18"/>
          <w:lang w:val="lt-LT"/>
        </w:rPr>
        <w:t>Tarptautinis pobūdis stiprina atsparumą</w:t>
      </w:r>
    </w:p>
    <w:p w14:paraId="6B64DFCE" w14:textId="465FB98E" w:rsidR="00E25678" w:rsidRDefault="00E25678" w:rsidP="00E25678">
      <w:pPr>
        <w:spacing w:line="276" w:lineRule="auto"/>
        <w:rPr>
          <w:szCs w:val="18"/>
          <w:lang w:val="lt-LT"/>
        </w:rPr>
      </w:pPr>
      <w:r w:rsidRPr="00E25678">
        <w:rPr>
          <w:szCs w:val="18"/>
          <w:lang w:val="lt-LT"/>
        </w:rPr>
        <w:t xml:space="preserve">2025 m. Roto grupė apie trečdalį savo apyvartos uždirbs Europoje, Amerikos žemyne ir Azijoje. „Ši struktūra jau daugelį metų yra labai tvirtas pagrindas“, – pabrėžė </w:t>
      </w:r>
      <w:proofErr w:type="spellStart"/>
      <w:r w:rsidRPr="00993B47">
        <w:rPr>
          <w:szCs w:val="18"/>
          <w:lang w:val="lt-LT"/>
        </w:rPr>
        <w:t>Hugenberg</w:t>
      </w:r>
      <w:proofErr w:type="spellEnd"/>
      <w:r w:rsidRPr="00E25678">
        <w:rPr>
          <w:szCs w:val="18"/>
          <w:lang w:val="lt-LT"/>
        </w:rPr>
        <w:t xml:space="preserve">. Pasaulio </w:t>
      </w:r>
      <w:r w:rsidRPr="00E25678">
        <w:rPr>
          <w:szCs w:val="18"/>
          <w:lang w:val="lt-LT"/>
        </w:rPr>
        <w:lastRenderedPageBreak/>
        <w:t>ekonomika kartais gauna stipresnius impulsus iš vienos, kartais iš kitos ekonominės erdvės. Be to, Roto neturi priežasčių skųstis dar ir dėl kitos priežasties: „Skyriai padidino rinkos dalis, nors dėl bendro rinkos silpnumo tai ne visose šalyse lėmė didesnes pajamas 2025 m. Be to, trijų skyrių veiklos kokybė nuolat patvirtinama klientų.“</w:t>
      </w:r>
    </w:p>
    <w:p w14:paraId="7D4B35F1" w14:textId="77777777" w:rsidR="00E25678" w:rsidRPr="00E25678" w:rsidRDefault="00E25678" w:rsidP="00E25678">
      <w:pPr>
        <w:spacing w:line="276" w:lineRule="auto"/>
        <w:rPr>
          <w:b/>
          <w:bCs/>
          <w:szCs w:val="18"/>
          <w:lang w:val="lt-LT"/>
        </w:rPr>
      </w:pPr>
    </w:p>
    <w:p w14:paraId="0995E3A6" w14:textId="77777777" w:rsidR="00E25678" w:rsidRPr="00E25678" w:rsidRDefault="00E25678" w:rsidP="00E25678">
      <w:pPr>
        <w:spacing w:line="276" w:lineRule="auto"/>
        <w:rPr>
          <w:b/>
          <w:bCs/>
          <w:szCs w:val="18"/>
          <w:lang w:val="lt-LT"/>
        </w:rPr>
      </w:pPr>
      <w:r w:rsidRPr="00E25678">
        <w:rPr>
          <w:b/>
          <w:bCs/>
          <w:szCs w:val="18"/>
          <w:lang w:val="lt-LT"/>
        </w:rPr>
        <w:t>Perspektyvus</w:t>
      </w:r>
    </w:p>
    <w:p w14:paraId="6EA696A6" w14:textId="123BB9D9" w:rsidR="0005119D" w:rsidRPr="00993B47" w:rsidRDefault="00E25678" w:rsidP="00E25678">
      <w:pPr>
        <w:spacing w:line="276" w:lineRule="auto"/>
        <w:rPr>
          <w:szCs w:val="18"/>
          <w:lang w:val="lt-LT"/>
        </w:rPr>
      </w:pPr>
      <w:proofErr w:type="spellStart"/>
      <w:r w:rsidRPr="00993B47">
        <w:rPr>
          <w:szCs w:val="18"/>
          <w:lang w:val="lt-LT"/>
        </w:rPr>
        <w:t>Hugenberg</w:t>
      </w:r>
      <w:proofErr w:type="spellEnd"/>
      <w:r w:rsidRPr="00E25678">
        <w:rPr>
          <w:szCs w:val="18"/>
          <w:lang w:val="lt-LT"/>
        </w:rPr>
        <w:t xml:space="preserve"> prognozuoja, kad ateinančiais metais ES ir Šiaurės Amerikoje pardavimai ir toliau šiek tiek augs. „Nors 2026 m. naujos statybos ir renovacijos sektoriai nepatirs spartaus augimo, tačiau bent jau nebesumažės.“ Be to, glaudūs verslo santykiai su klientais Pietų Amerikoje iš karto atsipirktų, jei investuotojų nepasitenkinimas, vyraujantis visų pirma Brazilijoje, išnyktų ir naujos statybos vėl atsigautų. „Iš tiesų, ekonominės sąlygos Pietų Amerikoje keičiasi dažnai ir greitai.“ Ankstesniais metais Roto jau matė labai gerą vystymąsi Pietų Amerikoje. „Dabar stabilios pajamos Europoje ir Šiaurės Amerikoje leidžia finansuoti prisitaikymą kitose rinkose. Ir tai yra </w:t>
      </w:r>
      <w:r w:rsidRPr="00F64F1B">
        <w:rPr>
          <w:szCs w:val="18"/>
          <w:lang w:val="lt-LT"/>
        </w:rPr>
        <w:t>normalu. Juk buvo metų, kai investicijos Europoje ir JAV buvo finansuojamos iš pajamų Kinijoje. Tai yra realybė kiekvienoje tarptautiniu mastu investuojančioje įmonėje.“</w:t>
      </w:r>
      <w:r w:rsidRPr="00993B47">
        <w:rPr>
          <w:szCs w:val="18"/>
          <w:lang w:val="lt-LT"/>
        </w:rPr>
        <w:t xml:space="preserve">  </w:t>
      </w:r>
    </w:p>
    <w:p w14:paraId="23BBF9EE" w14:textId="77777777" w:rsidR="00E25678" w:rsidRPr="00993B47" w:rsidRDefault="00E25678" w:rsidP="00E25678">
      <w:pPr>
        <w:spacing w:line="276" w:lineRule="auto"/>
        <w:rPr>
          <w:szCs w:val="18"/>
          <w:lang w:val="lt-LT"/>
        </w:rPr>
      </w:pPr>
    </w:p>
    <w:p w14:paraId="2FD36E77" w14:textId="77777777" w:rsidR="00FF3232" w:rsidRPr="00993B47" w:rsidRDefault="00FF3232" w:rsidP="00FF3232">
      <w:pPr>
        <w:spacing w:line="276" w:lineRule="auto"/>
        <w:rPr>
          <w:b/>
          <w:bCs/>
          <w:szCs w:val="18"/>
          <w:lang w:val="lt-LT"/>
        </w:rPr>
      </w:pPr>
      <w:r w:rsidRPr="00993B47">
        <w:rPr>
          <w:b/>
          <w:bCs/>
          <w:szCs w:val="18"/>
          <w:lang w:val="lt-LT"/>
        </w:rPr>
        <w:t>„</w:t>
      </w:r>
      <w:proofErr w:type="spellStart"/>
      <w:r w:rsidRPr="00993B47">
        <w:rPr>
          <w:b/>
          <w:bCs/>
          <w:szCs w:val="18"/>
          <w:lang w:val="lt-LT"/>
        </w:rPr>
        <w:t>Today</w:t>
      </w:r>
      <w:proofErr w:type="spellEnd"/>
      <w:r w:rsidRPr="00993B47">
        <w:rPr>
          <w:b/>
          <w:bCs/>
          <w:szCs w:val="18"/>
          <w:lang w:val="lt-LT"/>
        </w:rPr>
        <w:t xml:space="preserve">. </w:t>
      </w:r>
      <w:proofErr w:type="spellStart"/>
      <w:r w:rsidRPr="00993B47">
        <w:rPr>
          <w:b/>
          <w:bCs/>
          <w:szCs w:val="18"/>
          <w:lang w:val="lt-LT"/>
        </w:rPr>
        <w:t>Tomorrow</w:t>
      </w:r>
      <w:proofErr w:type="spellEnd"/>
      <w:r w:rsidRPr="00993B47">
        <w:rPr>
          <w:b/>
          <w:bCs/>
          <w:szCs w:val="18"/>
          <w:lang w:val="lt-LT"/>
        </w:rPr>
        <w:t>. Roto.“</w:t>
      </w:r>
    </w:p>
    <w:p w14:paraId="6EC4CAD0" w14:textId="5872BF10" w:rsidR="00E25678" w:rsidRDefault="00E25678" w:rsidP="00FF3232">
      <w:pPr>
        <w:spacing w:line="276" w:lineRule="auto"/>
        <w:rPr>
          <w:szCs w:val="18"/>
          <w:lang w:val="lt-LT"/>
        </w:rPr>
      </w:pPr>
      <w:r w:rsidRPr="00E25678">
        <w:rPr>
          <w:szCs w:val="18"/>
          <w:lang w:val="lt-LT"/>
        </w:rPr>
        <w:t xml:space="preserve">Žvelgdamas į ateinančius verslo metus, </w:t>
      </w:r>
      <w:proofErr w:type="spellStart"/>
      <w:r w:rsidRPr="00993B47">
        <w:rPr>
          <w:szCs w:val="18"/>
          <w:lang w:val="lt-LT"/>
        </w:rPr>
        <w:t>Hugenberg</w:t>
      </w:r>
      <w:proofErr w:type="spellEnd"/>
      <w:r w:rsidRPr="00E25678">
        <w:rPr>
          <w:szCs w:val="18"/>
          <w:lang w:val="lt-LT"/>
        </w:rPr>
        <w:t xml:space="preserve"> buvo atitinkamai optimistiškas: „Naujuosius metus pradedame su geromis idėjomis ir darysime viską, kas įmanoma, kad kompensuotume, deja, 2026 m. numatomus nuostolius kai kuriose rinkose.“ Roto yra puikiai pasirengusi tapti geriausiai veikiančia įmone ir ekonomiškai pajėgi atlikti ateities investicijas, kaip planuota. Todėl </w:t>
      </w:r>
      <w:proofErr w:type="spellStart"/>
      <w:r w:rsidRPr="00993B47">
        <w:rPr>
          <w:szCs w:val="18"/>
          <w:lang w:val="lt-LT"/>
        </w:rPr>
        <w:t>Hugenberg</w:t>
      </w:r>
      <w:proofErr w:type="spellEnd"/>
      <w:r w:rsidRPr="00E25678">
        <w:rPr>
          <w:szCs w:val="18"/>
          <w:lang w:val="lt-LT"/>
        </w:rPr>
        <w:t xml:space="preserve"> padarė tokią išvadą: </w:t>
      </w:r>
      <w:r w:rsidR="00D666E3">
        <w:rPr>
          <w:szCs w:val="18"/>
          <w:lang w:val="lt-LT"/>
        </w:rPr>
        <w:t>„</w:t>
      </w:r>
      <w:r w:rsidRPr="00E25678">
        <w:rPr>
          <w:szCs w:val="18"/>
          <w:lang w:val="lt-LT"/>
        </w:rPr>
        <w:t xml:space="preserve">Roto turi visus pagrindus optimistiškai žvelgti į ateitį. </w:t>
      </w:r>
      <w:r w:rsidR="00F64F1B" w:rsidRPr="00F64F1B">
        <w:rPr>
          <w:szCs w:val="18"/>
          <w:lang w:val="it-IT"/>
        </w:rPr>
        <w:t>Vietoj to, kad did</w:t>
      </w:r>
      <w:r w:rsidR="00F64F1B">
        <w:rPr>
          <w:szCs w:val="18"/>
          <w:lang w:val="it-IT"/>
        </w:rPr>
        <w:t>elę reikšmę teiktume</w:t>
      </w:r>
      <w:r w:rsidR="00F64F1B" w:rsidRPr="00F64F1B">
        <w:rPr>
          <w:szCs w:val="18"/>
          <w:lang w:val="it-IT"/>
        </w:rPr>
        <w:t xml:space="preserve"> galim</w:t>
      </w:r>
      <w:r w:rsidR="00F64F1B">
        <w:rPr>
          <w:szCs w:val="18"/>
          <w:lang w:val="it-IT"/>
        </w:rPr>
        <w:t>iems</w:t>
      </w:r>
      <w:r w:rsidR="00F64F1B" w:rsidRPr="00F64F1B">
        <w:rPr>
          <w:szCs w:val="18"/>
          <w:lang w:val="it-IT"/>
        </w:rPr>
        <w:t xml:space="preserve"> iššūki</w:t>
      </w:r>
      <w:r w:rsidR="00F64F1B">
        <w:rPr>
          <w:szCs w:val="18"/>
          <w:lang w:val="it-IT"/>
        </w:rPr>
        <w:t>am</w:t>
      </w:r>
      <w:r w:rsidR="00F64F1B" w:rsidRPr="00F64F1B">
        <w:rPr>
          <w:szCs w:val="18"/>
          <w:lang w:val="it-IT"/>
        </w:rPr>
        <w:t>s</w:t>
      </w:r>
      <w:r w:rsidRPr="00E25678">
        <w:rPr>
          <w:szCs w:val="18"/>
          <w:lang w:val="lt-LT"/>
        </w:rPr>
        <w:t xml:space="preserve">, mes mieliau patys kuriam savo ateitį. Geriausią ateitį, kokia kada nors buvo.“  </w:t>
      </w:r>
    </w:p>
    <w:p w14:paraId="4FCD5471" w14:textId="77777777" w:rsidR="00E25678" w:rsidRDefault="00E25678" w:rsidP="00FF3232">
      <w:pPr>
        <w:spacing w:line="276" w:lineRule="auto"/>
        <w:rPr>
          <w:szCs w:val="18"/>
          <w:lang w:val="lt-LT"/>
        </w:rPr>
      </w:pPr>
    </w:p>
    <w:p w14:paraId="4AF7437E" w14:textId="77777777" w:rsidR="00E25678" w:rsidRDefault="00E25678" w:rsidP="00FF3232">
      <w:pPr>
        <w:spacing w:line="276" w:lineRule="auto"/>
        <w:rPr>
          <w:szCs w:val="18"/>
          <w:lang w:val="lt-LT"/>
        </w:rPr>
      </w:pPr>
    </w:p>
    <w:p w14:paraId="11B73AD2" w14:textId="77777777" w:rsidR="00E25678" w:rsidRDefault="00E25678" w:rsidP="00FF3232">
      <w:pPr>
        <w:spacing w:line="276" w:lineRule="auto"/>
        <w:rPr>
          <w:szCs w:val="18"/>
          <w:lang w:val="lt-LT"/>
        </w:rPr>
      </w:pPr>
    </w:p>
    <w:p w14:paraId="7FC75D08" w14:textId="77777777" w:rsidR="00E25678" w:rsidRDefault="00E25678" w:rsidP="00FF3232">
      <w:pPr>
        <w:spacing w:line="276" w:lineRule="auto"/>
        <w:rPr>
          <w:szCs w:val="18"/>
          <w:lang w:val="lt-LT"/>
        </w:rPr>
      </w:pPr>
    </w:p>
    <w:p w14:paraId="712D6DA4" w14:textId="77777777" w:rsidR="00E25678" w:rsidRDefault="00E25678" w:rsidP="00FF3232">
      <w:pPr>
        <w:spacing w:line="276" w:lineRule="auto"/>
        <w:rPr>
          <w:szCs w:val="18"/>
          <w:lang w:val="lt-LT"/>
        </w:rPr>
      </w:pPr>
    </w:p>
    <w:p w14:paraId="45B55BBE" w14:textId="77777777" w:rsidR="00E25678" w:rsidRDefault="00E25678" w:rsidP="00FF3232">
      <w:pPr>
        <w:spacing w:line="276" w:lineRule="auto"/>
        <w:rPr>
          <w:szCs w:val="18"/>
          <w:lang w:val="lt-LT"/>
        </w:rPr>
      </w:pPr>
    </w:p>
    <w:p w14:paraId="22740FFD" w14:textId="77777777" w:rsidR="00E25678" w:rsidRDefault="00E25678" w:rsidP="00FF3232">
      <w:pPr>
        <w:spacing w:line="276" w:lineRule="auto"/>
        <w:rPr>
          <w:szCs w:val="18"/>
          <w:lang w:val="lt-LT"/>
        </w:rPr>
      </w:pPr>
    </w:p>
    <w:p w14:paraId="7251FA55" w14:textId="77777777" w:rsidR="00E25678" w:rsidRDefault="00E25678" w:rsidP="00FF3232">
      <w:pPr>
        <w:spacing w:line="276" w:lineRule="auto"/>
        <w:rPr>
          <w:szCs w:val="18"/>
          <w:lang w:val="lt-LT"/>
        </w:rPr>
      </w:pPr>
    </w:p>
    <w:p w14:paraId="13CE65B9" w14:textId="77777777" w:rsidR="00E25678" w:rsidRDefault="00E25678" w:rsidP="00FF3232">
      <w:pPr>
        <w:spacing w:line="276" w:lineRule="auto"/>
        <w:rPr>
          <w:szCs w:val="18"/>
          <w:lang w:val="lt-LT"/>
        </w:rPr>
      </w:pPr>
    </w:p>
    <w:p w14:paraId="433A2033" w14:textId="77777777" w:rsidR="00E25678" w:rsidRDefault="00E25678" w:rsidP="00FF3232">
      <w:pPr>
        <w:spacing w:line="276" w:lineRule="auto"/>
        <w:rPr>
          <w:szCs w:val="18"/>
          <w:lang w:val="lt-LT"/>
        </w:rPr>
      </w:pPr>
    </w:p>
    <w:p w14:paraId="1077F752" w14:textId="77777777" w:rsidR="00E25678" w:rsidRDefault="00E25678" w:rsidP="00FF3232">
      <w:pPr>
        <w:spacing w:line="276" w:lineRule="auto"/>
        <w:rPr>
          <w:szCs w:val="18"/>
          <w:lang w:val="lt-LT"/>
        </w:rPr>
      </w:pPr>
    </w:p>
    <w:p w14:paraId="72F9C6B7" w14:textId="77777777" w:rsidR="00E25678" w:rsidRDefault="00E25678" w:rsidP="00FF3232">
      <w:pPr>
        <w:spacing w:line="276" w:lineRule="auto"/>
        <w:rPr>
          <w:szCs w:val="18"/>
          <w:lang w:val="lt-LT"/>
        </w:rPr>
      </w:pPr>
    </w:p>
    <w:p w14:paraId="5E3493D2" w14:textId="77777777" w:rsidR="00E25678" w:rsidRDefault="00E25678" w:rsidP="00FF3232">
      <w:pPr>
        <w:spacing w:line="276" w:lineRule="auto"/>
        <w:rPr>
          <w:szCs w:val="18"/>
          <w:lang w:val="lt-LT"/>
        </w:rPr>
      </w:pPr>
    </w:p>
    <w:p w14:paraId="081C7F80" w14:textId="77777777" w:rsidR="00E25678" w:rsidRDefault="00E25678" w:rsidP="00FF3232">
      <w:pPr>
        <w:spacing w:line="276" w:lineRule="auto"/>
        <w:rPr>
          <w:szCs w:val="18"/>
          <w:lang w:val="lt-LT"/>
        </w:rPr>
      </w:pPr>
    </w:p>
    <w:p w14:paraId="5D3B1ADE" w14:textId="77777777" w:rsidR="00E25678" w:rsidRPr="00E25678" w:rsidRDefault="00E25678" w:rsidP="00FF3232">
      <w:pPr>
        <w:spacing w:line="276" w:lineRule="auto"/>
        <w:rPr>
          <w:szCs w:val="18"/>
          <w:lang w:val="lt-LT"/>
        </w:rPr>
      </w:pPr>
    </w:p>
    <w:p w14:paraId="7D9BC835" w14:textId="77777777" w:rsidR="00E25678" w:rsidRPr="00E25678" w:rsidRDefault="00E25678" w:rsidP="00FF3232">
      <w:pPr>
        <w:spacing w:line="276" w:lineRule="auto"/>
        <w:rPr>
          <w:b/>
          <w:bCs/>
          <w:szCs w:val="18"/>
          <w:lang w:val="lt-LT"/>
        </w:rPr>
      </w:pPr>
    </w:p>
    <w:p w14:paraId="4AA52919" w14:textId="3A0BA19B" w:rsidR="003A4778" w:rsidRDefault="00A66F36" w:rsidP="00252101">
      <w:pPr>
        <w:spacing w:line="276" w:lineRule="auto"/>
        <w:contextualSpacing/>
        <w:rPr>
          <w:bCs/>
          <w:noProof/>
          <w:szCs w:val="18"/>
          <w:lang w:val="it-IT"/>
        </w:rPr>
      </w:pPr>
      <w:r>
        <w:rPr>
          <w:noProof/>
        </w:rPr>
        <w:lastRenderedPageBreak/>
        <w:drawing>
          <wp:anchor distT="0" distB="0" distL="114300" distR="114300" simplePos="0" relativeHeight="251658240" behindDoc="0" locked="0" layoutInCell="1" allowOverlap="1" wp14:anchorId="7F03EEA0" wp14:editId="6B438335">
            <wp:simplePos x="0" y="0"/>
            <wp:positionH relativeFrom="margin">
              <wp:align>left</wp:align>
            </wp:positionH>
            <wp:positionV relativeFrom="paragraph">
              <wp:posOffset>0</wp:posOffset>
            </wp:positionV>
            <wp:extent cx="3599815" cy="1692275"/>
            <wp:effectExtent l="0" t="0" r="635" b="3175"/>
            <wp:wrapThrough wrapText="bothSides">
              <wp:wrapPolygon edited="0">
                <wp:start x="0" y="0"/>
                <wp:lineTo x="0" y="21397"/>
                <wp:lineTo x="21490" y="21397"/>
                <wp:lineTo x="21490" y="0"/>
                <wp:lineTo x="0" y="0"/>
              </wp:wrapPolygon>
            </wp:wrapThrough>
            <wp:docPr id="1158925703" name="Grafik 1" descr="Ein Bild, das draußen, Landschaft, Himmel, Luftfot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25703" name="Grafik 1" descr="Ein Bild, das draußen, Landschaft, Himmel, Luftfotografie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9815" cy="1692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F69F23" w14:textId="77777777" w:rsidR="003A4778" w:rsidRDefault="003A4778" w:rsidP="00252101">
      <w:pPr>
        <w:spacing w:line="276" w:lineRule="auto"/>
        <w:contextualSpacing/>
        <w:rPr>
          <w:bCs/>
          <w:noProof/>
          <w:szCs w:val="18"/>
          <w:lang w:val="it-IT"/>
        </w:rPr>
      </w:pPr>
    </w:p>
    <w:p w14:paraId="0B53ABD3" w14:textId="77777777" w:rsidR="00A66F36" w:rsidRDefault="00A66F36" w:rsidP="00252101">
      <w:pPr>
        <w:spacing w:line="276" w:lineRule="auto"/>
        <w:contextualSpacing/>
        <w:rPr>
          <w:bCs/>
          <w:noProof/>
          <w:szCs w:val="18"/>
          <w:lang w:val="it-IT"/>
        </w:rPr>
      </w:pPr>
    </w:p>
    <w:p w14:paraId="4D0E533F" w14:textId="77777777" w:rsidR="00A66F36" w:rsidRDefault="00A66F36" w:rsidP="00252101">
      <w:pPr>
        <w:spacing w:line="276" w:lineRule="auto"/>
        <w:contextualSpacing/>
        <w:rPr>
          <w:bCs/>
          <w:noProof/>
          <w:szCs w:val="18"/>
          <w:lang w:val="it-IT"/>
        </w:rPr>
      </w:pPr>
    </w:p>
    <w:p w14:paraId="428CF531" w14:textId="77777777" w:rsidR="00A66F36" w:rsidRDefault="00A66F36" w:rsidP="00252101">
      <w:pPr>
        <w:spacing w:line="276" w:lineRule="auto"/>
        <w:contextualSpacing/>
        <w:rPr>
          <w:bCs/>
          <w:noProof/>
          <w:szCs w:val="18"/>
          <w:lang w:val="it-IT"/>
        </w:rPr>
      </w:pPr>
    </w:p>
    <w:p w14:paraId="0A40B26E" w14:textId="77777777" w:rsidR="00A66F36" w:rsidRDefault="00A66F36" w:rsidP="00252101">
      <w:pPr>
        <w:spacing w:line="276" w:lineRule="auto"/>
        <w:contextualSpacing/>
        <w:rPr>
          <w:bCs/>
          <w:noProof/>
          <w:szCs w:val="18"/>
          <w:lang w:val="it-IT"/>
        </w:rPr>
      </w:pPr>
    </w:p>
    <w:p w14:paraId="691821A6" w14:textId="77777777" w:rsidR="00A66F36" w:rsidRDefault="00A66F36" w:rsidP="00252101">
      <w:pPr>
        <w:spacing w:line="276" w:lineRule="auto"/>
        <w:contextualSpacing/>
        <w:rPr>
          <w:bCs/>
          <w:noProof/>
          <w:szCs w:val="18"/>
          <w:lang w:val="it-IT"/>
        </w:rPr>
      </w:pPr>
    </w:p>
    <w:p w14:paraId="08273049" w14:textId="77777777" w:rsidR="00A66F36" w:rsidRDefault="00A66F36" w:rsidP="00252101">
      <w:pPr>
        <w:spacing w:line="276" w:lineRule="auto"/>
        <w:contextualSpacing/>
        <w:rPr>
          <w:bCs/>
          <w:noProof/>
          <w:szCs w:val="18"/>
          <w:lang w:val="it-IT"/>
        </w:rPr>
      </w:pPr>
    </w:p>
    <w:p w14:paraId="19A035C7" w14:textId="77777777" w:rsidR="00A66F36" w:rsidRDefault="00A66F36" w:rsidP="00252101">
      <w:pPr>
        <w:spacing w:line="276" w:lineRule="auto"/>
        <w:contextualSpacing/>
        <w:rPr>
          <w:bCs/>
          <w:noProof/>
          <w:szCs w:val="18"/>
          <w:lang w:val="it-IT"/>
        </w:rPr>
      </w:pPr>
    </w:p>
    <w:p w14:paraId="5A3BA20C" w14:textId="77777777" w:rsidR="00A66F36" w:rsidRDefault="00A66F36" w:rsidP="00252101">
      <w:pPr>
        <w:spacing w:line="276" w:lineRule="auto"/>
        <w:contextualSpacing/>
        <w:rPr>
          <w:bCs/>
          <w:noProof/>
          <w:szCs w:val="18"/>
          <w:lang w:val="it-IT"/>
        </w:rPr>
      </w:pPr>
    </w:p>
    <w:p w14:paraId="58C79E16" w14:textId="77777777" w:rsidR="00A66F36" w:rsidRDefault="00A66F36" w:rsidP="00252101">
      <w:pPr>
        <w:spacing w:line="276" w:lineRule="auto"/>
        <w:contextualSpacing/>
        <w:rPr>
          <w:bCs/>
          <w:noProof/>
          <w:szCs w:val="18"/>
          <w:lang w:val="it-IT"/>
        </w:rPr>
      </w:pPr>
    </w:p>
    <w:p w14:paraId="4F05783A" w14:textId="77777777" w:rsidR="00A66F36" w:rsidRDefault="00A66F36" w:rsidP="00252101">
      <w:pPr>
        <w:spacing w:line="276" w:lineRule="auto"/>
        <w:contextualSpacing/>
        <w:rPr>
          <w:bCs/>
          <w:noProof/>
          <w:szCs w:val="18"/>
          <w:lang w:val="it-IT"/>
        </w:rPr>
      </w:pPr>
    </w:p>
    <w:p w14:paraId="319E0E9E" w14:textId="21223F7A" w:rsidR="00F64F1B" w:rsidRDefault="00F64F1B" w:rsidP="00252101">
      <w:pPr>
        <w:spacing w:line="276" w:lineRule="auto"/>
        <w:contextualSpacing/>
        <w:rPr>
          <w:bCs/>
          <w:noProof/>
          <w:szCs w:val="18"/>
          <w:lang w:val="it-IT"/>
        </w:rPr>
      </w:pPr>
      <w:r w:rsidRPr="00F64F1B">
        <w:rPr>
          <w:bCs/>
          <w:noProof/>
          <w:szCs w:val="18"/>
          <w:lang w:val="it-IT"/>
        </w:rPr>
        <w:t xml:space="preserve">20-ojoje tarptautinėje Roto specializuotos spaudos </w:t>
      </w:r>
      <w:r w:rsidR="00122509">
        <w:rPr>
          <w:bCs/>
          <w:noProof/>
          <w:szCs w:val="18"/>
          <w:lang w:val="it-IT"/>
        </w:rPr>
        <w:t>konferencijoje</w:t>
      </w:r>
      <w:r w:rsidRPr="00F64F1B">
        <w:rPr>
          <w:bCs/>
          <w:noProof/>
          <w:szCs w:val="18"/>
          <w:lang w:val="it-IT"/>
        </w:rPr>
        <w:t xml:space="preserve"> Varšuvoje trys Roto grupės padaliniai informavo apie pokyčius savo rinkose 2025 m. 2025 m. tikimasi vieno skaitmens grupės grynojo apyvartos sumažėjimo – tai yra didelių nuostolių keliose rinkose pasekmė, kurios negalima kompensuoti šiek tiek teigiamais pokyčiais ES ir Šiaurės Amerikoje.</w:t>
      </w:r>
    </w:p>
    <w:p w14:paraId="053E78E2" w14:textId="77777777" w:rsidR="00314D8D" w:rsidRDefault="00314D8D">
      <w:pPr>
        <w:spacing w:line="240" w:lineRule="auto"/>
        <w:rPr>
          <w:b/>
          <w:noProof/>
          <w:szCs w:val="18"/>
          <w:lang w:val="it-IT"/>
        </w:rPr>
      </w:pPr>
    </w:p>
    <w:p w14:paraId="7BFE6BF9" w14:textId="28F0CD4D" w:rsidR="00314D8D" w:rsidRDefault="00314D8D">
      <w:pPr>
        <w:spacing w:line="240" w:lineRule="auto"/>
        <w:rPr>
          <w:bCs/>
          <w:noProof/>
          <w:szCs w:val="18"/>
          <w:lang w:val="it-IT"/>
        </w:rPr>
      </w:pPr>
      <w:r>
        <w:rPr>
          <w:b/>
          <w:noProof/>
          <w:szCs w:val="18"/>
          <w:lang w:val="it-IT"/>
        </w:rPr>
        <w:t xml:space="preserve">Foto: </w:t>
      </w:r>
      <w:r w:rsidR="0026779D" w:rsidRPr="00F64F1B">
        <w:rPr>
          <w:bCs/>
          <w:noProof/>
          <w:szCs w:val="18"/>
          <w:lang w:val="it-IT"/>
        </w:rPr>
        <w:t>GettyImages-1763794051</w:t>
      </w:r>
      <w:r w:rsidRPr="00314D8D">
        <w:rPr>
          <w:bCs/>
          <w:noProof/>
          <w:szCs w:val="18"/>
          <w:lang w:val="it-IT"/>
        </w:rPr>
        <w:tab/>
      </w:r>
      <w:r w:rsidRPr="00314D8D">
        <w:rPr>
          <w:bCs/>
          <w:noProof/>
          <w:szCs w:val="18"/>
          <w:lang w:val="it-IT"/>
        </w:rPr>
        <w:tab/>
      </w:r>
      <w:r w:rsidRPr="00314D8D">
        <w:rPr>
          <w:bCs/>
          <w:noProof/>
          <w:szCs w:val="18"/>
          <w:lang w:val="it-IT"/>
        </w:rPr>
        <w:tab/>
      </w:r>
      <w:r w:rsidR="0026779D">
        <w:rPr>
          <w:bCs/>
          <w:noProof/>
          <w:szCs w:val="18"/>
          <w:lang w:val="it-IT"/>
        </w:rPr>
        <w:tab/>
      </w:r>
      <w:r w:rsidR="0026779D">
        <w:rPr>
          <w:bCs/>
          <w:noProof/>
          <w:szCs w:val="18"/>
          <w:lang w:val="it-IT"/>
        </w:rPr>
        <w:tab/>
      </w:r>
      <w:r w:rsidR="00F64F1B">
        <w:rPr>
          <w:b/>
          <w:noProof/>
          <w:szCs w:val="18"/>
          <w:lang w:val="it-IT"/>
        </w:rPr>
        <w:t>Varšuva</w:t>
      </w:r>
      <w:r w:rsidRPr="00E93329">
        <w:rPr>
          <w:b/>
          <w:noProof/>
          <w:szCs w:val="18"/>
          <w:lang w:val="it-IT"/>
        </w:rPr>
        <w:t>.jpg</w:t>
      </w:r>
    </w:p>
    <w:p w14:paraId="04365D03" w14:textId="77777777" w:rsidR="00E93329" w:rsidRDefault="00E93329">
      <w:pPr>
        <w:spacing w:line="240" w:lineRule="auto"/>
        <w:rPr>
          <w:b/>
          <w:noProof/>
          <w:szCs w:val="18"/>
          <w:lang w:val="it-IT"/>
        </w:rPr>
      </w:pPr>
    </w:p>
    <w:p w14:paraId="2D56F65A" w14:textId="4DFFDB69" w:rsidR="00F87DDD" w:rsidRPr="00F64F1B" w:rsidRDefault="003A4778" w:rsidP="00F87DDD">
      <w:pPr>
        <w:spacing w:line="276" w:lineRule="auto"/>
        <w:rPr>
          <w:szCs w:val="18"/>
          <w:lang w:val="it-IT"/>
        </w:rPr>
      </w:pPr>
      <w:r w:rsidRPr="00281D09">
        <w:rPr>
          <w:rFonts w:ascii="Univers Next W1G Light" w:hAnsi="Univers Next W1G Light"/>
          <w:noProof/>
          <w:color w:val="000000" w:themeColor="text1"/>
        </w:rPr>
        <w:drawing>
          <wp:anchor distT="0" distB="0" distL="114300" distR="114300" simplePos="0" relativeHeight="251660288" behindDoc="0" locked="0" layoutInCell="1" allowOverlap="1" wp14:anchorId="6B9138D6" wp14:editId="5CAD5622">
            <wp:simplePos x="0" y="0"/>
            <wp:positionH relativeFrom="column">
              <wp:posOffset>-1270</wp:posOffset>
            </wp:positionH>
            <wp:positionV relativeFrom="paragraph">
              <wp:posOffset>154940</wp:posOffset>
            </wp:positionV>
            <wp:extent cx="2879725" cy="1614805"/>
            <wp:effectExtent l="0" t="0" r="0" b="4445"/>
            <wp:wrapThrough wrapText="bothSides">
              <wp:wrapPolygon edited="0">
                <wp:start x="0" y="0"/>
                <wp:lineTo x="0" y="21405"/>
                <wp:lineTo x="21433" y="21405"/>
                <wp:lineTo x="21433" y="0"/>
                <wp:lineTo x="0" y="0"/>
              </wp:wrapPolygon>
            </wp:wrapThrough>
            <wp:docPr id="1129941961" name="Grafik 2"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941961" name="Grafik 2" descr="Ein Bild, das Person, Kleidung, Menschliches Gesicht, Lächel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6148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9B7219" w14:textId="77777777" w:rsidR="00F87DDD" w:rsidRPr="00F64F1B" w:rsidRDefault="00F87DDD" w:rsidP="00F87DDD">
      <w:pPr>
        <w:spacing w:line="276" w:lineRule="auto"/>
        <w:rPr>
          <w:szCs w:val="18"/>
          <w:lang w:val="it-IT"/>
        </w:rPr>
      </w:pPr>
    </w:p>
    <w:p w14:paraId="12F78292" w14:textId="77777777" w:rsidR="003A4778" w:rsidRPr="00F64F1B" w:rsidRDefault="003A4778" w:rsidP="00252101">
      <w:pPr>
        <w:spacing w:line="276" w:lineRule="auto"/>
        <w:rPr>
          <w:szCs w:val="18"/>
          <w:lang w:val="it-IT"/>
        </w:rPr>
      </w:pPr>
    </w:p>
    <w:p w14:paraId="35B5529A" w14:textId="77777777" w:rsidR="003A4778" w:rsidRPr="00F64F1B" w:rsidRDefault="003A4778" w:rsidP="00252101">
      <w:pPr>
        <w:spacing w:line="276" w:lineRule="auto"/>
        <w:rPr>
          <w:szCs w:val="18"/>
          <w:lang w:val="it-IT"/>
        </w:rPr>
      </w:pPr>
    </w:p>
    <w:p w14:paraId="00312F85" w14:textId="77777777" w:rsidR="003A4778" w:rsidRPr="00F64F1B" w:rsidRDefault="003A4778" w:rsidP="00252101">
      <w:pPr>
        <w:spacing w:line="276" w:lineRule="auto"/>
        <w:rPr>
          <w:szCs w:val="18"/>
          <w:lang w:val="it-IT"/>
        </w:rPr>
      </w:pPr>
    </w:p>
    <w:p w14:paraId="53C4125C" w14:textId="77777777" w:rsidR="003A4778" w:rsidRPr="00F64F1B" w:rsidRDefault="003A4778" w:rsidP="00252101">
      <w:pPr>
        <w:spacing w:line="276" w:lineRule="auto"/>
        <w:rPr>
          <w:szCs w:val="18"/>
          <w:lang w:val="it-IT"/>
        </w:rPr>
      </w:pPr>
    </w:p>
    <w:p w14:paraId="5EB6180B" w14:textId="77777777" w:rsidR="003A4778" w:rsidRPr="00F64F1B" w:rsidRDefault="003A4778" w:rsidP="00252101">
      <w:pPr>
        <w:spacing w:line="276" w:lineRule="auto"/>
        <w:rPr>
          <w:szCs w:val="18"/>
          <w:lang w:val="it-IT"/>
        </w:rPr>
      </w:pPr>
    </w:p>
    <w:p w14:paraId="4A8EA354" w14:textId="77777777" w:rsidR="003A4778" w:rsidRPr="00F64F1B" w:rsidRDefault="003A4778" w:rsidP="00252101">
      <w:pPr>
        <w:spacing w:line="276" w:lineRule="auto"/>
        <w:rPr>
          <w:szCs w:val="18"/>
          <w:lang w:val="it-IT"/>
        </w:rPr>
      </w:pPr>
    </w:p>
    <w:p w14:paraId="2FB49B13" w14:textId="77777777" w:rsidR="003A4778" w:rsidRPr="00F64F1B" w:rsidRDefault="003A4778" w:rsidP="00252101">
      <w:pPr>
        <w:spacing w:line="276" w:lineRule="auto"/>
        <w:rPr>
          <w:szCs w:val="18"/>
          <w:lang w:val="it-IT"/>
        </w:rPr>
      </w:pPr>
    </w:p>
    <w:p w14:paraId="3537DFAE" w14:textId="77777777" w:rsidR="003A4778" w:rsidRPr="00F64F1B" w:rsidRDefault="003A4778" w:rsidP="00252101">
      <w:pPr>
        <w:spacing w:line="276" w:lineRule="auto"/>
        <w:rPr>
          <w:szCs w:val="18"/>
          <w:lang w:val="it-IT"/>
        </w:rPr>
      </w:pPr>
    </w:p>
    <w:p w14:paraId="250520E2" w14:textId="77777777" w:rsidR="003A4778" w:rsidRPr="00F64F1B" w:rsidRDefault="003A4778" w:rsidP="00252101">
      <w:pPr>
        <w:spacing w:line="276" w:lineRule="auto"/>
        <w:rPr>
          <w:szCs w:val="18"/>
          <w:lang w:val="it-IT"/>
        </w:rPr>
      </w:pPr>
    </w:p>
    <w:p w14:paraId="23A34E1B" w14:textId="77777777" w:rsidR="003A4778" w:rsidRPr="00F64F1B" w:rsidRDefault="003A4778" w:rsidP="00252101">
      <w:pPr>
        <w:spacing w:line="276" w:lineRule="auto"/>
        <w:rPr>
          <w:szCs w:val="18"/>
          <w:lang w:val="it-IT"/>
        </w:rPr>
      </w:pPr>
    </w:p>
    <w:p w14:paraId="2933DAE7" w14:textId="77777777" w:rsidR="00F64F1B" w:rsidRDefault="00F87DDD" w:rsidP="00F64F1B">
      <w:pPr>
        <w:tabs>
          <w:tab w:val="left" w:pos="6804"/>
        </w:tabs>
        <w:spacing w:line="276" w:lineRule="auto"/>
        <w:rPr>
          <w:szCs w:val="18"/>
          <w:lang w:val="it-IT"/>
        </w:rPr>
      </w:pPr>
      <w:r w:rsidRPr="00F64F1B">
        <w:rPr>
          <w:szCs w:val="18"/>
          <w:lang w:val="it-IT"/>
        </w:rPr>
        <w:t>Christoph Hugenberg</w:t>
      </w:r>
      <w:r w:rsidR="00C5599C" w:rsidRPr="00F64F1B">
        <w:rPr>
          <w:szCs w:val="18"/>
          <w:lang w:val="it-IT"/>
        </w:rPr>
        <w:t xml:space="preserve">, </w:t>
      </w:r>
      <w:r w:rsidR="00F64F1B" w:rsidRPr="00F64F1B">
        <w:rPr>
          <w:szCs w:val="18"/>
          <w:lang w:val="it-IT"/>
        </w:rPr>
        <w:t>Roto Frank Holding AG valdybos narys mato daug priežasčių optimizmui Roto grupėje: investicijos 2025 ir 2026 m. gali būti vykdomos kaip planuota.  Skyriai padidino rinkos dalį. Be to, trijų skyrių veiklos kokybė nuolat patvirtinama klientų. „Roto turi visus pagrindus optimistiškai žvelgti į ateitį. Vietoj to, kad did</w:t>
      </w:r>
      <w:r w:rsidR="00F64F1B">
        <w:rPr>
          <w:szCs w:val="18"/>
          <w:lang w:val="it-IT"/>
        </w:rPr>
        <w:t>elę reikšmę teiktume</w:t>
      </w:r>
      <w:r w:rsidR="00F64F1B" w:rsidRPr="00F64F1B">
        <w:rPr>
          <w:szCs w:val="18"/>
          <w:lang w:val="it-IT"/>
        </w:rPr>
        <w:t xml:space="preserve"> galim</w:t>
      </w:r>
      <w:r w:rsidR="00F64F1B">
        <w:rPr>
          <w:szCs w:val="18"/>
          <w:lang w:val="it-IT"/>
        </w:rPr>
        <w:t>iems</w:t>
      </w:r>
      <w:r w:rsidR="00F64F1B" w:rsidRPr="00F64F1B">
        <w:rPr>
          <w:szCs w:val="18"/>
          <w:lang w:val="it-IT"/>
        </w:rPr>
        <w:t xml:space="preserve"> iššūki</w:t>
      </w:r>
      <w:r w:rsidR="00F64F1B">
        <w:rPr>
          <w:szCs w:val="18"/>
          <w:lang w:val="it-IT"/>
        </w:rPr>
        <w:t>am</w:t>
      </w:r>
      <w:r w:rsidR="00F64F1B" w:rsidRPr="00F64F1B">
        <w:rPr>
          <w:szCs w:val="18"/>
          <w:lang w:val="it-IT"/>
        </w:rPr>
        <w:t xml:space="preserve">s, mes mieliau patys kuriame savo ateitį. Geriausią ateitį, kokia kada nors buvo.“  </w:t>
      </w:r>
    </w:p>
    <w:p w14:paraId="4EDFA777" w14:textId="77777777" w:rsidR="00F64F1B" w:rsidRDefault="00F64F1B" w:rsidP="00F64F1B">
      <w:pPr>
        <w:tabs>
          <w:tab w:val="left" w:pos="6804"/>
        </w:tabs>
        <w:spacing w:line="276" w:lineRule="auto"/>
        <w:rPr>
          <w:szCs w:val="18"/>
          <w:lang w:val="it-IT"/>
        </w:rPr>
      </w:pPr>
    </w:p>
    <w:p w14:paraId="7F9F7776" w14:textId="2E777703" w:rsidR="00987D13" w:rsidRDefault="00F64F1B" w:rsidP="00987D13">
      <w:pPr>
        <w:tabs>
          <w:tab w:val="left" w:pos="6804"/>
        </w:tabs>
        <w:spacing w:line="276" w:lineRule="auto"/>
        <w:rPr>
          <w:b/>
          <w:bCs/>
          <w:szCs w:val="18"/>
          <w:lang w:val="it-IT"/>
        </w:rPr>
      </w:pPr>
      <w:r>
        <w:rPr>
          <w:b/>
          <w:szCs w:val="18"/>
          <w:lang w:val="it-IT"/>
        </w:rPr>
        <w:t>Foto</w:t>
      </w:r>
      <w:r w:rsidR="00F87DDD" w:rsidRPr="00F64F1B">
        <w:rPr>
          <w:szCs w:val="18"/>
          <w:lang w:val="it-IT"/>
        </w:rPr>
        <w:t>: Roto Frank Holding AG</w:t>
      </w:r>
      <w:r w:rsidR="00987D13">
        <w:rPr>
          <w:szCs w:val="18"/>
          <w:lang w:val="it-IT"/>
        </w:rPr>
        <w:t xml:space="preserve">                                                  </w:t>
      </w:r>
      <w:r w:rsidR="00987D13" w:rsidRPr="00F64F1B">
        <w:rPr>
          <w:b/>
          <w:bCs/>
          <w:szCs w:val="18"/>
          <w:lang w:val="it-IT"/>
        </w:rPr>
        <w:t>Roto_Christoph_Hugenberg.jpg</w:t>
      </w:r>
    </w:p>
    <w:p w14:paraId="5B0F3F84" w14:textId="77777777" w:rsidR="00987D13" w:rsidRDefault="00987D13" w:rsidP="00987D13">
      <w:pPr>
        <w:tabs>
          <w:tab w:val="left" w:pos="6804"/>
        </w:tabs>
        <w:spacing w:line="276" w:lineRule="auto"/>
        <w:rPr>
          <w:b/>
          <w:bCs/>
          <w:szCs w:val="18"/>
          <w:lang w:val="it-IT"/>
        </w:rPr>
      </w:pPr>
    </w:p>
    <w:p w14:paraId="14243AD8" w14:textId="77777777" w:rsidR="00987D13" w:rsidRDefault="00987D13" w:rsidP="00987D13">
      <w:pPr>
        <w:tabs>
          <w:tab w:val="left" w:pos="6804"/>
        </w:tabs>
        <w:spacing w:line="276" w:lineRule="auto"/>
        <w:rPr>
          <w:b/>
          <w:bCs/>
          <w:szCs w:val="18"/>
          <w:lang w:val="it-IT"/>
        </w:rPr>
      </w:pPr>
    </w:p>
    <w:p w14:paraId="25203682" w14:textId="77777777" w:rsidR="00F64F1B" w:rsidRPr="00F64F1B" w:rsidRDefault="00F64F1B" w:rsidP="00F64F1B">
      <w:pPr>
        <w:tabs>
          <w:tab w:val="left" w:pos="6804"/>
        </w:tabs>
        <w:spacing w:line="276" w:lineRule="auto"/>
        <w:rPr>
          <w:b/>
          <w:bCs/>
          <w:szCs w:val="18"/>
          <w:lang w:val="it-IT"/>
        </w:rPr>
      </w:pPr>
    </w:p>
    <w:p w14:paraId="0BFB70B0" w14:textId="77777777" w:rsidR="00E93329" w:rsidRPr="00F64F1B" w:rsidRDefault="00E93329" w:rsidP="00436951">
      <w:pPr>
        <w:spacing w:line="240" w:lineRule="auto"/>
        <w:contextualSpacing/>
        <w:rPr>
          <w:szCs w:val="18"/>
          <w:lang w:val="it-IT"/>
        </w:rPr>
      </w:pPr>
    </w:p>
    <w:p w14:paraId="41E94289" w14:textId="5F0845C3" w:rsidR="001F33A9" w:rsidRPr="00F64F1B" w:rsidRDefault="00F64F1B" w:rsidP="00436951">
      <w:pPr>
        <w:spacing w:line="240" w:lineRule="auto"/>
        <w:contextualSpacing/>
        <w:rPr>
          <w:szCs w:val="18"/>
          <w:lang w:val="it-IT"/>
        </w:rPr>
      </w:pPr>
      <w:r>
        <w:rPr>
          <w:szCs w:val="18"/>
          <w:lang w:val="it-IT"/>
        </w:rPr>
        <w:t>Leidžiama spausdi</w:t>
      </w:r>
      <w:r w:rsidR="002716B1">
        <w:rPr>
          <w:szCs w:val="18"/>
          <w:lang w:val="it-IT"/>
        </w:rPr>
        <w:t>n</w:t>
      </w:r>
      <w:r>
        <w:rPr>
          <w:szCs w:val="18"/>
          <w:lang w:val="it-IT"/>
        </w:rPr>
        <w:t>ti ne</w:t>
      </w:r>
      <w:r w:rsidR="00993B47">
        <w:rPr>
          <w:szCs w:val="18"/>
          <w:lang w:val="it-IT"/>
        </w:rPr>
        <w:t>m</w:t>
      </w:r>
      <w:r>
        <w:rPr>
          <w:szCs w:val="18"/>
          <w:lang w:val="it-IT"/>
        </w:rPr>
        <w:t>okamai - prašome pateikti kopiją.</w:t>
      </w:r>
    </w:p>
    <w:p w14:paraId="2CAA602E" w14:textId="77777777" w:rsidR="001F33A9" w:rsidRPr="00F64F1B" w:rsidRDefault="001F33A9" w:rsidP="00436951">
      <w:pPr>
        <w:spacing w:line="240" w:lineRule="auto"/>
        <w:contextualSpacing/>
        <w:rPr>
          <w:szCs w:val="18"/>
          <w:lang w:val="it-IT"/>
        </w:rPr>
      </w:pPr>
    </w:p>
    <w:p w14:paraId="1F389975" w14:textId="11A51530" w:rsidR="00183C56" w:rsidRPr="006C3E26" w:rsidRDefault="00F64F1B" w:rsidP="003A4778">
      <w:pPr>
        <w:widowControl w:val="0"/>
        <w:spacing w:line="276" w:lineRule="auto"/>
        <w:rPr>
          <w:szCs w:val="18"/>
        </w:rPr>
      </w:pPr>
      <w:r w:rsidRPr="00987D13">
        <w:rPr>
          <w:b/>
          <w:szCs w:val="18"/>
          <w:lang w:val="lt-LT"/>
        </w:rPr>
        <w:t>Leidėjas</w:t>
      </w:r>
      <w:r w:rsidR="00183C56" w:rsidRPr="00987D13">
        <w:rPr>
          <w:szCs w:val="18"/>
          <w:lang w:val="lt-LT"/>
        </w:rPr>
        <w:t>:</w:t>
      </w:r>
      <w:r w:rsidR="00183C56" w:rsidRPr="006C3E26">
        <w:rPr>
          <w:szCs w:val="18"/>
        </w:rPr>
        <w:t xml:space="preserve"> </w:t>
      </w:r>
      <w:r w:rsidR="004F5272" w:rsidRPr="006C3E26">
        <w:rPr>
          <w:szCs w:val="18"/>
        </w:rPr>
        <w:t>Roto Frank Holding AG • Wilhelm-Frank-Platz 1 • 70771 Leinfelden-Echterdingen • Tel. +49 711 7598 0 • Fax +49 711 7598 253 • </w:t>
      </w:r>
      <w:hyperlink r:id="rId13" w:history="1">
        <w:r w:rsidR="004F5272" w:rsidRPr="006C3E26">
          <w:rPr>
            <w:rStyle w:val="Hipersaitas"/>
            <w:color w:val="auto"/>
            <w:szCs w:val="18"/>
            <w:u w:val="none"/>
          </w:rPr>
          <w:t>info@roto-frank.com</w:t>
        </w:r>
      </w:hyperlink>
    </w:p>
    <w:p w14:paraId="77C8E1E4" w14:textId="6E4166F5" w:rsidR="00191927" w:rsidRPr="00191927" w:rsidRDefault="00F64F1B" w:rsidP="00191927">
      <w:pPr>
        <w:adjustRightInd w:val="0"/>
        <w:spacing w:before="240"/>
        <w:contextualSpacing/>
        <w:rPr>
          <w:rFonts w:cs="Arial"/>
          <w:b/>
          <w:color w:val="000000" w:themeColor="text1"/>
          <w:sz w:val="16"/>
          <w:szCs w:val="16"/>
          <w:lang w:val="lt-LT"/>
        </w:rPr>
      </w:pPr>
      <w:r w:rsidRPr="00987D13">
        <w:rPr>
          <w:b/>
          <w:szCs w:val="18"/>
          <w:lang w:val="lt-LT"/>
        </w:rPr>
        <w:t>Kontaktas</w:t>
      </w:r>
      <w:r w:rsidR="00191927" w:rsidRPr="00987D13">
        <w:rPr>
          <w:b/>
          <w:szCs w:val="18"/>
          <w:lang w:val="lt-LT"/>
        </w:rPr>
        <w:t xml:space="preserve"> žiniasklaidai</w:t>
      </w:r>
      <w:r w:rsidR="00191927">
        <w:rPr>
          <w:rFonts w:cs="Arial"/>
          <w:b/>
          <w:color w:val="000000" w:themeColor="text1"/>
          <w:sz w:val="16"/>
          <w:szCs w:val="16"/>
          <w:lang w:val="lt-LT"/>
        </w:rPr>
        <w:t xml:space="preserve">: </w:t>
      </w:r>
      <w:r w:rsidR="00191927" w:rsidRPr="00E10833">
        <w:rPr>
          <w:rFonts w:cs="Arial"/>
          <w:color w:val="000000" w:themeColor="text1"/>
          <w:sz w:val="16"/>
          <w:szCs w:val="16"/>
          <w:lang w:val="lt-LT"/>
        </w:rPr>
        <w:t>Giedrė Stankevičiūtė</w:t>
      </w:r>
      <w:r w:rsidR="00191927">
        <w:rPr>
          <w:rFonts w:cs="Arial"/>
          <w:color w:val="000000" w:themeColor="text1"/>
          <w:sz w:val="16"/>
          <w:szCs w:val="16"/>
          <w:lang w:val="lt-LT"/>
        </w:rPr>
        <w:t xml:space="preserve"> </w:t>
      </w:r>
      <w:r w:rsidR="00191927" w:rsidRPr="006C3E26">
        <w:rPr>
          <w:szCs w:val="18"/>
        </w:rPr>
        <w:t>•</w:t>
      </w:r>
      <w:r w:rsidR="00191927" w:rsidRPr="00E10833">
        <w:rPr>
          <w:rFonts w:cs="Arial"/>
          <w:color w:val="000000" w:themeColor="text1"/>
          <w:sz w:val="16"/>
          <w:szCs w:val="16"/>
          <w:lang w:val="lt-LT"/>
        </w:rPr>
        <w:t xml:space="preserve"> tel. +37052700751</w:t>
      </w:r>
      <w:r w:rsidR="00191927">
        <w:rPr>
          <w:rFonts w:cs="Arial"/>
          <w:color w:val="000000" w:themeColor="text1"/>
          <w:sz w:val="16"/>
          <w:szCs w:val="16"/>
          <w:lang w:val="lt-LT"/>
        </w:rPr>
        <w:t xml:space="preserve"> </w:t>
      </w:r>
      <w:r w:rsidR="00191927" w:rsidRPr="00191927">
        <w:rPr>
          <w:szCs w:val="18"/>
          <w:lang w:val="en-GB"/>
        </w:rPr>
        <w:t>•</w:t>
      </w:r>
      <w:r w:rsidR="00191927" w:rsidRPr="00E10833">
        <w:rPr>
          <w:rFonts w:cs="Arial"/>
          <w:color w:val="000000" w:themeColor="text1"/>
          <w:sz w:val="16"/>
          <w:szCs w:val="16"/>
          <w:lang w:val="lt-LT"/>
        </w:rPr>
        <w:t xml:space="preserve"> el. paštas: </w:t>
      </w:r>
      <w:hyperlink r:id="rId14" w:history="1">
        <w:r w:rsidR="00191927" w:rsidRPr="00E10833">
          <w:rPr>
            <w:rStyle w:val="Hipersaitas"/>
            <w:rFonts w:cs="Arial"/>
            <w:sz w:val="16"/>
            <w:szCs w:val="16"/>
            <w:lang w:val="lt-LT"/>
          </w:rPr>
          <w:t>info.lt@roto-frank.com</w:t>
        </w:r>
      </w:hyperlink>
    </w:p>
    <w:sectPr w:rsidR="00191927" w:rsidRPr="00191927" w:rsidSect="00A66F36">
      <w:headerReference w:type="default" r:id="rId15"/>
      <w:footerReference w:type="default" r:id="rId16"/>
      <w:headerReference w:type="first" r:id="rId17"/>
      <w:footerReference w:type="first" r:id="rId18"/>
      <w:pgSz w:w="11907" w:h="16840" w:code="9"/>
      <w:pgMar w:top="4139" w:right="2552"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88915" w14:textId="77777777" w:rsidR="00185A8A" w:rsidRDefault="00185A8A">
      <w:r>
        <w:separator/>
      </w:r>
    </w:p>
  </w:endnote>
  <w:endnote w:type="continuationSeparator" w:id="0">
    <w:p w14:paraId="7A600441" w14:textId="77777777" w:rsidR="00185A8A" w:rsidRDefault="00185A8A">
      <w:r>
        <w:continuationSeparator/>
      </w:r>
    </w:p>
  </w:endnote>
  <w:endnote w:type="continuationNotice" w:id="1">
    <w:p w14:paraId="4670C52C" w14:textId="77777777" w:rsidR="00185A8A" w:rsidRDefault="00185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TUnivers 330 BasicLight">
    <w:altName w:val="Times New Roman"/>
    <w:charset w:val="00"/>
    <w:family w:val="auto"/>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9954038"/>
      <w:docPartObj>
        <w:docPartGallery w:val="Page Numbers (Bottom of Page)"/>
        <w:docPartUnique/>
      </w:docPartObj>
    </w:sdtPr>
    <w:sdtContent>
      <w:p w14:paraId="2AB2E6DA" w14:textId="71F23156" w:rsidR="005D4F07" w:rsidRDefault="005D4F07">
        <w:pPr>
          <w:pStyle w:val="Porat"/>
          <w:jc w:val="right"/>
        </w:pPr>
        <w:r>
          <w:fldChar w:fldCharType="begin"/>
        </w:r>
        <w:r>
          <w:instrText>PAGE   \* MERGEFORMAT</w:instrText>
        </w:r>
        <w:r>
          <w:fldChar w:fldCharType="separate"/>
        </w:r>
        <w:r>
          <w:t>2</w:t>
        </w:r>
        <w:r>
          <w:fldChar w:fldCharType="end"/>
        </w:r>
      </w:p>
    </w:sdtContent>
  </w:sdt>
  <w:p w14:paraId="6EC58602" w14:textId="77777777" w:rsidR="005D4F07" w:rsidRDefault="005D4F0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Content>
      <w:p w14:paraId="2525D1D9" w14:textId="77777777" w:rsidR="007C4F18" w:rsidRDefault="007C4F18">
        <w:pPr>
          <w:pStyle w:val="Porat"/>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Porat"/>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661E9" w14:textId="77777777" w:rsidR="00185A8A" w:rsidRDefault="00185A8A">
      <w:r>
        <w:separator/>
      </w:r>
    </w:p>
  </w:footnote>
  <w:footnote w:type="continuationSeparator" w:id="0">
    <w:p w14:paraId="0A058674" w14:textId="77777777" w:rsidR="00185A8A" w:rsidRDefault="00185A8A">
      <w:r>
        <w:continuationSeparator/>
      </w:r>
    </w:p>
  </w:footnote>
  <w:footnote w:type="continuationNotice" w:id="1">
    <w:p w14:paraId="5ADB7A65" w14:textId="77777777" w:rsidR="00185A8A" w:rsidRDefault="00185A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5610E477" w:rsidR="00365F53" w:rsidRPr="005A7A66" w:rsidRDefault="00365F53" w:rsidP="00365F53">
    <w:pPr>
      <w:pStyle w:val="Presseinfo"/>
      <w:rPr>
        <w:lang w:val="lt-LT"/>
      </w:rPr>
    </w:pPr>
    <w:r w:rsidRPr="005A7A66">
      <w:rPr>
        <w:lang w:val="lt-LT"/>
      </w:rPr>
      <w:t>Pr</w:t>
    </w:r>
    <w:r w:rsidR="00F64F1B" w:rsidRPr="005A7A66">
      <w:rPr>
        <w:lang w:val="lt-LT"/>
      </w:rPr>
      <w:t>anešimas spaudai</w:t>
    </w:r>
  </w:p>
  <w:p w14:paraId="7A74A0E6" w14:textId="77777777" w:rsidR="004956A5" w:rsidRPr="00365F53" w:rsidRDefault="004956A5" w:rsidP="00365F5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21A"/>
    <w:rsid w:val="00027A7A"/>
    <w:rsid w:val="00027D1C"/>
    <w:rsid w:val="00030ADE"/>
    <w:rsid w:val="00035C46"/>
    <w:rsid w:val="00040F37"/>
    <w:rsid w:val="00041F4C"/>
    <w:rsid w:val="000441F8"/>
    <w:rsid w:val="00044646"/>
    <w:rsid w:val="00044E27"/>
    <w:rsid w:val="0004590F"/>
    <w:rsid w:val="00050B39"/>
    <w:rsid w:val="0005119D"/>
    <w:rsid w:val="00052576"/>
    <w:rsid w:val="00054242"/>
    <w:rsid w:val="0006444E"/>
    <w:rsid w:val="000649D5"/>
    <w:rsid w:val="0006573D"/>
    <w:rsid w:val="00066ABD"/>
    <w:rsid w:val="00067089"/>
    <w:rsid w:val="00067AB6"/>
    <w:rsid w:val="000727C6"/>
    <w:rsid w:val="000771E8"/>
    <w:rsid w:val="0009057F"/>
    <w:rsid w:val="00093DA8"/>
    <w:rsid w:val="00095BDA"/>
    <w:rsid w:val="000A3664"/>
    <w:rsid w:val="000A444E"/>
    <w:rsid w:val="000A70B2"/>
    <w:rsid w:val="000B1D7E"/>
    <w:rsid w:val="000B277C"/>
    <w:rsid w:val="000C2BEA"/>
    <w:rsid w:val="000C6872"/>
    <w:rsid w:val="000D136C"/>
    <w:rsid w:val="000E1382"/>
    <w:rsid w:val="000F1F7C"/>
    <w:rsid w:val="000F2F70"/>
    <w:rsid w:val="00103120"/>
    <w:rsid w:val="0010666C"/>
    <w:rsid w:val="00107781"/>
    <w:rsid w:val="0010786F"/>
    <w:rsid w:val="00115173"/>
    <w:rsid w:val="00115446"/>
    <w:rsid w:val="0011554B"/>
    <w:rsid w:val="00117B57"/>
    <w:rsid w:val="00121BC5"/>
    <w:rsid w:val="00122509"/>
    <w:rsid w:val="00122BE4"/>
    <w:rsid w:val="00123A88"/>
    <w:rsid w:val="001275B3"/>
    <w:rsid w:val="00127614"/>
    <w:rsid w:val="00130971"/>
    <w:rsid w:val="00130A2C"/>
    <w:rsid w:val="001312E7"/>
    <w:rsid w:val="00136AA9"/>
    <w:rsid w:val="001412D9"/>
    <w:rsid w:val="00144D7C"/>
    <w:rsid w:val="00151761"/>
    <w:rsid w:val="00156E33"/>
    <w:rsid w:val="00167447"/>
    <w:rsid w:val="001728BE"/>
    <w:rsid w:val="00182B03"/>
    <w:rsid w:val="001832CA"/>
    <w:rsid w:val="00183C56"/>
    <w:rsid w:val="001857EB"/>
    <w:rsid w:val="00185A8A"/>
    <w:rsid w:val="00191927"/>
    <w:rsid w:val="00197C68"/>
    <w:rsid w:val="001A3768"/>
    <w:rsid w:val="001A4657"/>
    <w:rsid w:val="001A6D8B"/>
    <w:rsid w:val="001A6F7D"/>
    <w:rsid w:val="001B47D7"/>
    <w:rsid w:val="001D1E57"/>
    <w:rsid w:val="001D26DA"/>
    <w:rsid w:val="001D40E9"/>
    <w:rsid w:val="001D5E4B"/>
    <w:rsid w:val="001E7A2A"/>
    <w:rsid w:val="001F0B81"/>
    <w:rsid w:val="001F2BA5"/>
    <w:rsid w:val="001F33A9"/>
    <w:rsid w:val="001F3E6C"/>
    <w:rsid w:val="001F4084"/>
    <w:rsid w:val="001F4C37"/>
    <w:rsid w:val="00201328"/>
    <w:rsid w:val="0020361F"/>
    <w:rsid w:val="00204DAD"/>
    <w:rsid w:val="00207261"/>
    <w:rsid w:val="0020746A"/>
    <w:rsid w:val="00215BC9"/>
    <w:rsid w:val="0021708B"/>
    <w:rsid w:val="00220432"/>
    <w:rsid w:val="00220A52"/>
    <w:rsid w:val="00220B2B"/>
    <w:rsid w:val="0022790C"/>
    <w:rsid w:val="00227F1A"/>
    <w:rsid w:val="00234679"/>
    <w:rsid w:val="002350ED"/>
    <w:rsid w:val="00241231"/>
    <w:rsid w:val="0024282D"/>
    <w:rsid w:val="0024485D"/>
    <w:rsid w:val="00252101"/>
    <w:rsid w:val="002532B0"/>
    <w:rsid w:val="00253762"/>
    <w:rsid w:val="00253EF3"/>
    <w:rsid w:val="002575F5"/>
    <w:rsid w:val="0026779D"/>
    <w:rsid w:val="002716B1"/>
    <w:rsid w:val="002907B4"/>
    <w:rsid w:val="00293C62"/>
    <w:rsid w:val="0029493B"/>
    <w:rsid w:val="00296A46"/>
    <w:rsid w:val="002A134C"/>
    <w:rsid w:val="002A4A8F"/>
    <w:rsid w:val="002B35C0"/>
    <w:rsid w:val="002C18E5"/>
    <w:rsid w:val="002C2A20"/>
    <w:rsid w:val="002D117D"/>
    <w:rsid w:val="002D5B08"/>
    <w:rsid w:val="002D5C43"/>
    <w:rsid w:val="002D7DEE"/>
    <w:rsid w:val="002D7EB8"/>
    <w:rsid w:val="002E4ADF"/>
    <w:rsid w:val="002F0ECA"/>
    <w:rsid w:val="002F43B1"/>
    <w:rsid w:val="002F58AE"/>
    <w:rsid w:val="002F6293"/>
    <w:rsid w:val="00301CD6"/>
    <w:rsid w:val="00314D8D"/>
    <w:rsid w:val="00315AF9"/>
    <w:rsid w:val="0031689A"/>
    <w:rsid w:val="00326FF4"/>
    <w:rsid w:val="003324EC"/>
    <w:rsid w:val="00334224"/>
    <w:rsid w:val="003533E0"/>
    <w:rsid w:val="003568D1"/>
    <w:rsid w:val="003570B9"/>
    <w:rsid w:val="00365F53"/>
    <w:rsid w:val="003723CA"/>
    <w:rsid w:val="00391311"/>
    <w:rsid w:val="00395BE6"/>
    <w:rsid w:val="00396F7D"/>
    <w:rsid w:val="003A1345"/>
    <w:rsid w:val="003A27B4"/>
    <w:rsid w:val="003A4778"/>
    <w:rsid w:val="003A6E04"/>
    <w:rsid w:val="003B0204"/>
    <w:rsid w:val="003B1843"/>
    <w:rsid w:val="003B25C7"/>
    <w:rsid w:val="003B4588"/>
    <w:rsid w:val="003C3E58"/>
    <w:rsid w:val="003C4FDC"/>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5003"/>
    <w:rsid w:val="00436951"/>
    <w:rsid w:val="0044360E"/>
    <w:rsid w:val="0044374E"/>
    <w:rsid w:val="004479FD"/>
    <w:rsid w:val="0045126D"/>
    <w:rsid w:val="00452AB7"/>
    <w:rsid w:val="00461AD8"/>
    <w:rsid w:val="00467860"/>
    <w:rsid w:val="0047076D"/>
    <w:rsid w:val="00474F53"/>
    <w:rsid w:val="00475818"/>
    <w:rsid w:val="00475DDF"/>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03191"/>
    <w:rsid w:val="005103E1"/>
    <w:rsid w:val="00511B08"/>
    <w:rsid w:val="0051307F"/>
    <w:rsid w:val="00515B40"/>
    <w:rsid w:val="00524D7E"/>
    <w:rsid w:val="005259AB"/>
    <w:rsid w:val="00534BBA"/>
    <w:rsid w:val="00536465"/>
    <w:rsid w:val="005400B7"/>
    <w:rsid w:val="005607C1"/>
    <w:rsid w:val="0056241E"/>
    <w:rsid w:val="005705E3"/>
    <w:rsid w:val="00570F93"/>
    <w:rsid w:val="0057175B"/>
    <w:rsid w:val="00576DB5"/>
    <w:rsid w:val="00577E5A"/>
    <w:rsid w:val="00580326"/>
    <w:rsid w:val="00580DA9"/>
    <w:rsid w:val="005834D9"/>
    <w:rsid w:val="0058494C"/>
    <w:rsid w:val="00584E02"/>
    <w:rsid w:val="00586DB7"/>
    <w:rsid w:val="005A0238"/>
    <w:rsid w:val="005A24F0"/>
    <w:rsid w:val="005A7A66"/>
    <w:rsid w:val="005B2254"/>
    <w:rsid w:val="005C029D"/>
    <w:rsid w:val="005D16C6"/>
    <w:rsid w:val="005D28F1"/>
    <w:rsid w:val="005D4F07"/>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0A37"/>
    <w:rsid w:val="00673BBA"/>
    <w:rsid w:val="00680EE0"/>
    <w:rsid w:val="0068423C"/>
    <w:rsid w:val="0069131B"/>
    <w:rsid w:val="006958D3"/>
    <w:rsid w:val="006A430F"/>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36640"/>
    <w:rsid w:val="00740413"/>
    <w:rsid w:val="007515F7"/>
    <w:rsid w:val="007564B3"/>
    <w:rsid w:val="00780845"/>
    <w:rsid w:val="00781E48"/>
    <w:rsid w:val="007831B2"/>
    <w:rsid w:val="00793616"/>
    <w:rsid w:val="00797F8A"/>
    <w:rsid w:val="007A01E7"/>
    <w:rsid w:val="007A0FA6"/>
    <w:rsid w:val="007A1B1D"/>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8D0"/>
    <w:rsid w:val="00827939"/>
    <w:rsid w:val="00827DAD"/>
    <w:rsid w:val="00835C01"/>
    <w:rsid w:val="008456C2"/>
    <w:rsid w:val="00845918"/>
    <w:rsid w:val="008472C9"/>
    <w:rsid w:val="00847859"/>
    <w:rsid w:val="00847DD0"/>
    <w:rsid w:val="008533E3"/>
    <w:rsid w:val="008602F3"/>
    <w:rsid w:val="00860A3B"/>
    <w:rsid w:val="00864650"/>
    <w:rsid w:val="0086700D"/>
    <w:rsid w:val="00870076"/>
    <w:rsid w:val="008710FF"/>
    <w:rsid w:val="00874D61"/>
    <w:rsid w:val="00882EA0"/>
    <w:rsid w:val="008835C4"/>
    <w:rsid w:val="00884703"/>
    <w:rsid w:val="00886D48"/>
    <w:rsid w:val="008875D6"/>
    <w:rsid w:val="00887D60"/>
    <w:rsid w:val="008A47C8"/>
    <w:rsid w:val="008B1720"/>
    <w:rsid w:val="008B6353"/>
    <w:rsid w:val="008C357B"/>
    <w:rsid w:val="008C466F"/>
    <w:rsid w:val="008C46D1"/>
    <w:rsid w:val="008C7658"/>
    <w:rsid w:val="008C7F61"/>
    <w:rsid w:val="008D0974"/>
    <w:rsid w:val="008D0D32"/>
    <w:rsid w:val="008D6A16"/>
    <w:rsid w:val="008E410F"/>
    <w:rsid w:val="00900C48"/>
    <w:rsid w:val="009031C8"/>
    <w:rsid w:val="00904FB9"/>
    <w:rsid w:val="0090566A"/>
    <w:rsid w:val="009057BD"/>
    <w:rsid w:val="00910461"/>
    <w:rsid w:val="009112A6"/>
    <w:rsid w:val="00915E9D"/>
    <w:rsid w:val="00921AE4"/>
    <w:rsid w:val="00922126"/>
    <w:rsid w:val="00931711"/>
    <w:rsid w:val="009334DF"/>
    <w:rsid w:val="00933693"/>
    <w:rsid w:val="009344BE"/>
    <w:rsid w:val="0094172F"/>
    <w:rsid w:val="0094184B"/>
    <w:rsid w:val="009438D6"/>
    <w:rsid w:val="00944C5A"/>
    <w:rsid w:val="00952DAB"/>
    <w:rsid w:val="009534DB"/>
    <w:rsid w:val="00954840"/>
    <w:rsid w:val="009639B7"/>
    <w:rsid w:val="00972097"/>
    <w:rsid w:val="00972B14"/>
    <w:rsid w:val="00974954"/>
    <w:rsid w:val="009831FC"/>
    <w:rsid w:val="00987D13"/>
    <w:rsid w:val="00990DA7"/>
    <w:rsid w:val="00991740"/>
    <w:rsid w:val="00992CC1"/>
    <w:rsid w:val="00993B47"/>
    <w:rsid w:val="00993DF3"/>
    <w:rsid w:val="009951F8"/>
    <w:rsid w:val="0099590E"/>
    <w:rsid w:val="009966F3"/>
    <w:rsid w:val="00997D90"/>
    <w:rsid w:val="009A2134"/>
    <w:rsid w:val="009B158C"/>
    <w:rsid w:val="009B22CA"/>
    <w:rsid w:val="009B2E9C"/>
    <w:rsid w:val="009B2EE4"/>
    <w:rsid w:val="009B300E"/>
    <w:rsid w:val="009C31F2"/>
    <w:rsid w:val="009D103F"/>
    <w:rsid w:val="009D1670"/>
    <w:rsid w:val="009D75C0"/>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5244D"/>
    <w:rsid w:val="00A545A4"/>
    <w:rsid w:val="00A56C4B"/>
    <w:rsid w:val="00A60F62"/>
    <w:rsid w:val="00A6103E"/>
    <w:rsid w:val="00A611C4"/>
    <w:rsid w:val="00A6481F"/>
    <w:rsid w:val="00A66F36"/>
    <w:rsid w:val="00A7188E"/>
    <w:rsid w:val="00A7421E"/>
    <w:rsid w:val="00A86D9B"/>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D6584"/>
    <w:rsid w:val="00AE21EA"/>
    <w:rsid w:val="00AE26A0"/>
    <w:rsid w:val="00AE71FC"/>
    <w:rsid w:val="00AF787D"/>
    <w:rsid w:val="00AF7E03"/>
    <w:rsid w:val="00B00426"/>
    <w:rsid w:val="00B02640"/>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91DDE"/>
    <w:rsid w:val="00BA4FBD"/>
    <w:rsid w:val="00BB3D16"/>
    <w:rsid w:val="00BB4282"/>
    <w:rsid w:val="00BB44E2"/>
    <w:rsid w:val="00BB639F"/>
    <w:rsid w:val="00BC0229"/>
    <w:rsid w:val="00BC24E8"/>
    <w:rsid w:val="00BC2BCE"/>
    <w:rsid w:val="00BC4516"/>
    <w:rsid w:val="00BC5108"/>
    <w:rsid w:val="00BC79E9"/>
    <w:rsid w:val="00BD0EB3"/>
    <w:rsid w:val="00BD3662"/>
    <w:rsid w:val="00BD37F8"/>
    <w:rsid w:val="00BD4156"/>
    <w:rsid w:val="00BD420B"/>
    <w:rsid w:val="00BD5131"/>
    <w:rsid w:val="00BD5BE6"/>
    <w:rsid w:val="00BE131B"/>
    <w:rsid w:val="00BE6661"/>
    <w:rsid w:val="00BF42DD"/>
    <w:rsid w:val="00BF71B4"/>
    <w:rsid w:val="00C00C66"/>
    <w:rsid w:val="00C16034"/>
    <w:rsid w:val="00C16488"/>
    <w:rsid w:val="00C165DF"/>
    <w:rsid w:val="00C165FF"/>
    <w:rsid w:val="00C16C66"/>
    <w:rsid w:val="00C17B7F"/>
    <w:rsid w:val="00C24254"/>
    <w:rsid w:val="00C24A15"/>
    <w:rsid w:val="00C325E4"/>
    <w:rsid w:val="00C33F23"/>
    <w:rsid w:val="00C34722"/>
    <w:rsid w:val="00C36A6F"/>
    <w:rsid w:val="00C43E01"/>
    <w:rsid w:val="00C5599C"/>
    <w:rsid w:val="00C57EDF"/>
    <w:rsid w:val="00C6454E"/>
    <w:rsid w:val="00C64CDD"/>
    <w:rsid w:val="00C66102"/>
    <w:rsid w:val="00C67DE0"/>
    <w:rsid w:val="00C70B71"/>
    <w:rsid w:val="00C72363"/>
    <w:rsid w:val="00C81792"/>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3A7E"/>
    <w:rsid w:val="00D148DD"/>
    <w:rsid w:val="00D17643"/>
    <w:rsid w:val="00D22398"/>
    <w:rsid w:val="00D22CA7"/>
    <w:rsid w:val="00D263E1"/>
    <w:rsid w:val="00D27753"/>
    <w:rsid w:val="00D307DA"/>
    <w:rsid w:val="00D30C19"/>
    <w:rsid w:val="00D3147F"/>
    <w:rsid w:val="00D316BE"/>
    <w:rsid w:val="00D32A61"/>
    <w:rsid w:val="00D37B46"/>
    <w:rsid w:val="00D50D60"/>
    <w:rsid w:val="00D514B3"/>
    <w:rsid w:val="00D543EE"/>
    <w:rsid w:val="00D550F1"/>
    <w:rsid w:val="00D5563C"/>
    <w:rsid w:val="00D60118"/>
    <w:rsid w:val="00D608EF"/>
    <w:rsid w:val="00D6138A"/>
    <w:rsid w:val="00D63B5B"/>
    <w:rsid w:val="00D6539A"/>
    <w:rsid w:val="00D666E3"/>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B5247"/>
    <w:rsid w:val="00DB7887"/>
    <w:rsid w:val="00DC0644"/>
    <w:rsid w:val="00DC0B38"/>
    <w:rsid w:val="00DC0EBE"/>
    <w:rsid w:val="00DC270B"/>
    <w:rsid w:val="00DC3B29"/>
    <w:rsid w:val="00DC606A"/>
    <w:rsid w:val="00DC6813"/>
    <w:rsid w:val="00DC6EA3"/>
    <w:rsid w:val="00DC7976"/>
    <w:rsid w:val="00DD0C46"/>
    <w:rsid w:val="00DD3FAB"/>
    <w:rsid w:val="00DD5A7D"/>
    <w:rsid w:val="00DE14CD"/>
    <w:rsid w:val="00DE37EB"/>
    <w:rsid w:val="00DF1CEB"/>
    <w:rsid w:val="00DF4A2F"/>
    <w:rsid w:val="00DF56BA"/>
    <w:rsid w:val="00DF7DC4"/>
    <w:rsid w:val="00E006A8"/>
    <w:rsid w:val="00E00B07"/>
    <w:rsid w:val="00E01A8C"/>
    <w:rsid w:val="00E06CEC"/>
    <w:rsid w:val="00E10C93"/>
    <w:rsid w:val="00E13165"/>
    <w:rsid w:val="00E20526"/>
    <w:rsid w:val="00E238CE"/>
    <w:rsid w:val="00E24561"/>
    <w:rsid w:val="00E24927"/>
    <w:rsid w:val="00E25678"/>
    <w:rsid w:val="00E3254F"/>
    <w:rsid w:val="00E33169"/>
    <w:rsid w:val="00E368C7"/>
    <w:rsid w:val="00E37858"/>
    <w:rsid w:val="00E37C1F"/>
    <w:rsid w:val="00E44902"/>
    <w:rsid w:val="00E46681"/>
    <w:rsid w:val="00E4764B"/>
    <w:rsid w:val="00E50719"/>
    <w:rsid w:val="00E510C1"/>
    <w:rsid w:val="00E57F80"/>
    <w:rsid w:val="00E60601"/>
    <w:rsid w:val="00E8464A"/>
    <w:rsid w:val="00E86325"/>
    <w:rsid w:val="00E865F3"/>
    <w:rsid w:val="00E90EAE"/>
    <w:rsid w:val="00E93329"/>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D591D"/>
    <w:rsid w:val="00ED64D8"/>
    <w:rsid w:val="00ED66D9"/>
    <w:rsid w:val="00EE3039"/>
    <w:rsid w:val="00EE4BBE"/>
    <w:rsid w:val="00EF17EE"/>
    <w:rsid w:val="00EF3438"/>
    <w:rsid w:val="00EF6166"/>
    <w:rsid w:val="00EF7D75"/>
    <w:rsid w:val="00F0288F"/>
    <w:rsid w:val="00F067A4"/>
    <w:rsid w:val="00F10D0A"/>
    <w:rsid w:val="00F11A42"/>
    <w:rsid w:val="00F1305B"/>
    <w:rsid w:val="00F1386D"/>
    <w:rsid w:val="00F14935"/>
    <w:rsid w:val="00F22181"/>
    <w:rsid w:val="00F24C2F"/>
    <w:rsid w:val="00F278A4"/>
    <w:rsid w:val="00F33C45"/>
    <w:rsid w:val="00F3759E"/>
    <w:rsid w:val="00F407D6"/>
    <w:rsid w:val="00F45F6D"/>
    <w:rsid w:val="00F46961"/>
    <w:rsid w:val="00F57631"/>
    <w:rsid w:val="00F61928"/>
    <w:rsid w:val="00F64DFC"/>
    <w:rsid w:val="00F64F1B"/>
    <w:rsid w:val="00F72CA0"/>
    <w:rsid w:val="00F73060"/>
    <w:rsid w:val="00F744FC"/>
    <w:rsid w:val="00F807C5"/>
    <w:rsid w:val="00F83163"/>
    <w:rsid w:val="00F87DDD"/>
    <w:rsid w:val="00F91E7B"/>
    <w:rsid w:val="00F94995"/>
    <w:rsid w:val="00F96B32"/>
    <w:rsid w:val="00F97E96"/>
    <w:rsid w:val="00FA191F"/>
    <w:rsid w:val="00FA5018"/>
    <w:rsid w:val="00FA597F"/>
    <w:rsid w:val="00FB1B80"/>
    <w:rsid w:val="00FB1CBD"/>
    <w:rsid w:val="00FB5F38"/>
    <w:rsid w:val="00FB67A4"/>
    <w:rsid w:val="00FB6B5A"/>
    <w:rsid w:val="00FD0D28"/>
    <w:rsid w:val="00FD1309"/>
    <w:rsid w:val="00FD2641"/>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138A"/>
    <w:pPr>
      <w:spacing w:line="240" w:lineRule="exact"/>
    </w:pPr>
    <w:rPr>
      <w:rFonts w:asciiTheme="minorHAnsi" w:hAnsiTheme="minorHAnsi"/>
      <w:sz w:val="18"/>
    </w:rPr>
  </w:style>
  <w:style w:type="paragraph" w:styleId="Antrat1">
    <w:name w:val="heading 1"/>
    <w:basedOn w:val="prastasis"/>
    <w:next w:val="prastasis"/>
    <w:pPr>
      <w:keepNext/>
      <w:jc w:val="both"/>
      <w:outlineLvl w:val="0"/>
    </w:pPr>
    <w:rPr>
      <w:sz w:val="24"/>
      <w:u w:val="single"/>
    </w:rPr>
  </w:style>
  <w:style w:type="paragraph" w:styleId="Antrat2">
    <w:name w:val="heading 2"/>
    <w:basedOn w:val="prastasis"/>
    <w:next w:val="prastasis"/>
    <w:pPr>
      <w:keepNext/>
      <w:jc w:val="center"/>
      <w:outlineLvl w:val="1"/>
    </w:pPr>
    <w:rPr>
      <w:b/>
      <w:sz w:val="24"/>
    </w:rPr>
  </w:style>
  <w:style w:type="paragraph" w:styleId="Antrat3">
    <w:name w:val="heading 3"/>
    <w:basedOn w:val="prastasis"/>
    <w:next w:val="prastasis"/>
    <w:pPr>
      <w:keepNext/>
      <w:outlineLvl w:val="2"/>
    </w:pPr>
    <w:rPr>
      <w:b/>
      <w:sz w:val="26"/>
    </w:rPr>
  </w:style>
  <w:style w:type="paragraph" w:styleId="Antrat4">
    <w:name w:val="heading 4"/>
    <w:basedOn w:val="prastasis"/>
    <w:next w:val="prastasis"/>
    <w:pPr>
      <w:keepNext/>
      <w:ind w:left="567"/>
      <w:jc w:val="both"/>
      <w:outlineLvl w:val="3"/>
    </w:pPr>
    <w:rPr>
      <w:b/>
      <w:sz w:val="22"/>
    </w:rPr>
  </w:style>
  <w:style w:type="paragraph" w:styleId="Antrat5">
    <w:name w:val="heading 5"/>
    <w:basedOn w:val="prastasis"/>
    <w:next w:val="prastasis"/>
    <w:pPr>
      <w:keepNext/>
      <w:jc w:val="both"/>
      <w:outlineLvl w:val="4"/>
    </w:pPr>
    <w:rPr>
      <w:u w:val="single"/>
    </w:rPr>
  </w:style>
  <w:style w:type="paragraph" w:styleId="Antrat6">
    <w:name w:val="heading 6"/>
    <w:basedOn w:val="prastasis"/>
    <w:next w:val="prastasis"/>
    <w:pPr>
      <w:keepNext/>
      <w:jc w:val="both"/>
      <w:outlineLvl w:val="5"/>
    </w:pPr>
    <w:rPr>
      <w:i/>
      <w:u w:val="single"/>
    </w:rPr>
  </w:style>
  <w:style w:type="paragraph" w:styleId="Antrat7">
    <w:name w:val="heading 7"/>
    <w:basedOn w:val="prastasis"/>
    <w:next w:val="prastasis"/>
    <w:pPr>
      <w:keepNext/>
      <w:outlineLvl w:val="6"/>
    </w:pPr>
    <w:rPr>
      <w:sz w:val="24"/>
      <w:u w:val="single"/>
    </w:rPr>
  </w:style>
  <w:style w:type="paragraph" w:styleId="Antrat8">
    <w:name w:val="heading 8"/>
    <w:basedOn w:val="prastasis"/>
    <w:next w:val="prastasis"/>
    <w:pPr>
      <w:keepNext/>
      <w:ind w:left="567"/>
      <w:jc w:val="both"/>
      <w:outlineLvl w:val="7"/>
    </w:pPr>
    <w:rPr>
      <w:b/>
      <w:sz w:val="24"/>
    </w:rPr>
  </w:style>
  <w:style w:type="paragraph" w:styleId="Antrat9">
    <w:name w:val="heading 9"/>
    <w:basedOn w:val="prastasis"/>
    <w:next w:val="prastasis"/>
    <w:pPr>
      <w:keepNext/>
      <w:outlineLvl w:val="8"/>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otekstotrauka">
    <w:name w:val="Body Text Indent"/>
    <w:basedOn w:val="prastasis"/>
    <w:pPr>
      <w:ind w:left="1418"/>
      <w:jc w:val="both"/>
    </w:pPr>
    <w:rPr>
      <w:sz w:val="24"/>
    </w:rPr>
  </w:style>
  <w:style w:type="paragraph" w:styleId="Antrat">
    <w:name w:val="caption"/>
    <w:basedOn w:val="prastasis"/>
    <w:next w:val="prastasis"/>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prastasis"/>
    <w:pPr>
      <w:tabs>
        <w:tab w:val="left" w:pos="1985"/>
        <w:tab w:val="left" w:pos="3515"/>
        <w:tab w:val="left" w:pos="6010"/>
        <w:tab w:val="left" w:pos="7655"/>
        <w:tab w:val="left" w:pos="8789"/>
      </w:tabs>
    </w:pPr>
    <w:rPr>
      <w:sz w:val="12"/>
    </w:rPr>
  </w:style>
  <w:style w:type="character" w:styleId="Hipersaitas">
    <w:name w:val="Hyperlink"/>
    <w:rPr>
      <w:color w:val="0000FF"/>
      <w:u w:val="single"/>
    </w:rPr>
  </w:style>
  <w:style w:type="character" w:styleId="Perirtashipersaitas">
    <w:name w:val="FollowedHyperlink"/>
    <w:rPr>
      <w:color w:val="800080"/>
      <w:u w:val="single"/>
    </w:rPr>
  </w:style>
  <w:style w:type="paragraph" w:styleId="Antrats">
    <w:name w:val="header"/>
    <w:basedOn w:val="prastasis"/>
    <w:pPr>
      <w:tabs>
        <w:tab w:val="center" w:pos="4536"/>
        <w:tab w:val="right" w:pos="9072"/>
      </w:tabs>
    </w:pPr>
  </w:style>
  <w:style w:type="paragraph" w:styleId="Porat">
    <w:name w:val="footer"/>
    <w:basedOn w:val="prastasis"/>
    <w:link w:val="PoratDiagrama"/>
    <w:uiPriority w:val="99"/>
    <w:pPr>
      <w:tabs>
        <w:tab w:val="center" w:pos="4536"/>
        <w:tab w:val="right" w:pos="9072"/>
      </w:tabs>
    </w:pPr>
  </w:style>
  <w:style w:type="paragraph" w:styleId="Pagrindinistekstas2">
    <w:name w:val="Body Text 2"/>
    <w:basedOn w:val="prastasis"/>
    <w:pPr>
      <w:jc w:val="both"/>
    </w:pPr>
    <w:rPr>
      <w:rFonts w:ascii="LTUnivers 430 BasicReg" w:hAnsi="LTUnivers 430 BasicReg"/>
      <w:sz w:val="22"/>
    </w:rPr>
  </w:style>
  <w:style w:type="paragraph" w:styleId="Pagrindinistekstas3">
    <w:name w:val="Body Text 3"/>
    <w:basedOn w:val="prastasis"/>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Debesliotekstas">
    <w:name w:val="Balloon Text"/>
    <w:basedOn w:val="prastasis"/>
    <w:semiHidden/>
    <w:rsid w:val="00F22181"/>
    <w:rPr>
      <w:rFonts w:ascii="Tahoma" w:hAnsi="Tahoma" w:cs="Tahoma"/>
      <w:sz w:val="16"/>
      <w:szCs w:val="16"/>
    </w:rPr>
  </w:style>
  <w:style w:type="character" w:styleId="Puslapionumeris">
    <w:name w:val="page number"/>
    <w:basedOn w:val="Numatytasispastraiposriftas"/>
    <w:rsid w:val="008D6A16"/>
  </w:style>
  <w:style w:type="character" w:customStyle="1" w:styleId="PoratDiagrama">
    <w:name w:val="Poraštė Diagrama"/>
    <w:basedOn w:val="Numatytasispastraiposriftas"/>
    <w:link w:val="Porat"/>
    <w:uiPriority w:val="99"/>
    <w:rsid w:val="00954840"/>
    <w:rPr>
      <w:rFonts w:ascii="Arial" w:hAnsi="Arial"/>
    </w:rPr>
  </w:style>
  <w:style w:type="character" w:styleId="Vietosrezervavimoenklotekstas">
    <w:name w:val="Placeholder Text"/>
    <w:basedOn w:val="Numatytasispastraiposriftas"/>
    <w:uiPriority w:val="99"/>
    <w:semiHidden/>
    <w:rsid w:val="00793616"/>
    <w:rPr>
      <w:color w:val="808080"/>
    </w:rPr>
  </w:style>
  <w:style w:type="paragraph" w:customStyle="1" w:styleId="7Punkt">
    <w:name w:val="7 Punkt"/>
    <w:basedOn w:val="prastasis"/>
    <w:rsid w:val="003A6E04"/>
    <w:pPr>
      <w:spacing w:line="170" w:lineRule="exact"/>
    </w:pPr>
    <w:rPr>
      <w:sz w:val="14"/>
      <w:szCs w:val="14"/>
    </w:rPr>
  </w:style>
  <w:style w:type="table" w:styleId="Lentelstinklelis">
    <w:name w:val="Table Grid"/>
    <w:basedOn w:val="prastojilente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prastasis"/>
    <w:rsid w:val="00D27753"/>
    <w:pPr>
      <w:spacing w:line="240" w:lineRule="auto"/>
    </w:pPr>
    <w:rPr>
      <w:b/>
      <w:color w:val="FE0009" w:themeColor="accent5"/>
      <w:sz w:val="36"/>
    </w:rPr>
  </w:style>
  <w:style w:type="character" w:styleId="Emfaz">
    <w:name w:val="Emphasis"/>
    <w:basedOn w:val="Numatytasispastraiposriftas"/>
    <w:rsid w:val="003568D1"/>
    <w:rPr>
      <w:i/>
      <w:iCs/>
    </w:rPr>
  </w:style>
  <w:style w:type="paragraph" w:customStyle="1" w:styleId="Aufzhlung">
    <w:name w:val="Aufzählung"/>
    <w:basedOn w:val="prastasis"/>
    <w:qFormat/>
    <w:rsid w:val="00A13A11"/>
    <w:pPr>
      <w:numPr>
        <w:numId w:val="7"/>
      </w:numPr>
    </w:pPr>
    <w:rPr>
      <w:lang w:val="en-US"/>
    </w:rPr>
  </w:style>
  <w:style w:type="paragraph" w:customStyle="1" w:styleId="7Pt">
    <w:name w:val="7 Pt"/>
    <w:basedOn w:val="prastasis"/>
    <w:rsid w:val="004062C5"/>
    <w:pPr>
      <w:tabs>
        <w:tab w:val="left" w:pos="1701"/>
      </w:tabs>
      <w:spacing w:line="170" w:lineRule="exact"/>
    </w:pPr>
    <w:rPr>
      <w:sz w:val="14"/>
      <w:szCs w:val="14"/>
    </w:rPr>
  </w:style>
  <w:style w:type="character" w:styleId="Grietas">
    <w:name w:val="Strong"/>
    <w:basedOn w:val="Numatytasispastraiposriftas"/>
    <w:uiPriority w:val="22"/>
    <w:qFormat/>
    <w:rsid w:val="004062C5"/>
    <w:rPr>
      <w:rFonts w:ascii="LTUnivers 330 BasicLight" w:hAnsi="LTUnivers 330 BasicLight"/>
      <w:b/>
      <w:bCs/>
      <w:i w:val="0"/>
    </w:rPr>
  </w:style>
  <w:style w:type="character" w:styleId="Komentaronuoroda">
    <w:name w:val="annotation reference"/>
    <w:basedOn w:val="Numatytasispastraiposriftas"/>
    <w:semiHidden/>
    <w:unhideWhenUsed/>
    <w:rsid w:val="009112A6"/>
    <w:rPr>
      <w:sz w:val="16"/>
      <w:szCs w:val="16"/>
    </w:rPr>
  </w:style>
  <w:style w:type="paragraph" w:styleId="Komentarotekstas">
    <w:name w:val="annotation text"/>
    <w:basedOn w:val="prastasis"/>
    <w:link w:val="KomentarotekstasDiagrama"/>
    <w:unhideWhenUsed/>
    <w:rsid w:val="009112A6"/>
    <w:pPr>
      <w:spacing w:line="240" w:lineRule="auto"/>
    </w:pPr>
    <w:rPr>
      <w:sz w:val="20"/>
    </w:rPr>
  </w:style>
  <w:style w:type="character" w:customStyle="1" w:styleId="KomentarotekstasDiagrama">
    <w:name w:val="Komentaro tekstas Diagrama"/>
    <w:basedOn w:val="Numatytasispastraiposriftas"/>
    <w:link w:val="Komentarotekstas"/>
    <w:rsid w:val="009112A6"/>
    <w:rPr>
      <w:rFonts w:asciiTheme="minorHAnsi" w:hAnsiTheme="minorHAnsi"/>
    </w:rPr>
  </w:style>
  <w:style w:type="paragraph" w:styleId="Komentarotema">
    <w:name w:val="annotation subject"/>
    <w:basedOn w:val="Komentarotekstas"/>
    <w:next w:val="Komentarotekstas"/>
    <w:link w:val="KomentarotemaDiagrama"/>
    <w:semiHidden/>
    <w:unhideWhenUsed/>
    <w:rsid w:val="009112A6"/>
    <w:rPr>
      <w:b/>
      <w:bCs/>
    </w:rPr>
  </w:style>
  <w:style w:type="character" w:customStyle="1" w:styleId="KomentarotemaDiagrama">
    <w:name w:val="Komentaro tema Diagrama"/>
    <w:basedOn w:val="KomentarotekstasDiagrama"/>
    <w:link w:val="Komentarotema"/>
    <w:semiHidden/>
    <w:rsid w:val="009112A6"/>
    <w:rPr>
      <w:rFonts w:asciiTheme="minorHAnsi" w:hAnsiTheme="minorHAnsi"/>
      <w:b/>
      <w:bCs/>
    </w:rPr>
  </w:style>
  <w:style w:type="paragraph" w:styleId="Pataisymai">
    <w:name w:val="Revision"/>
    <w:hidden/>
    <w:uiPriority w:val="99"/>
    <w:semiHidden/>
    <w:rsid w:val="00D77A62"/>
    <w:rPr>
      <w:rFonts w:asciiTheme="minorHAnsi" w:hAnsiTheme="minorHAnsi"/>
      <w:sz w:val="18"/>
    </w:rPr>
  </w:style>
  <w:style w:type="character" w:customStyle="1" w:styleId="NichtaufgelsteErwhnung1">
    <w:name w:val="Nicht aufgelöste Erwähnung1"/>
    <w:basedOn w:val="Numatytasispastraiposriftas"/>
    <w:uiPriority w:val="99"/>
    <w:semiHidden/>
    <w:unhideWhenUsed/>
    <w:rsid w:val="00E10C93"/>
    <w:rPr>
      <w:color w:val="605E5C"/>
      <w:shd w:val="clear" w:color="auto" w:fill="E1DFDD"/>
    </w:rPr>
  </w:style>
  <w:style w:type="character" w:customStyle="1" w:styleId="apple-converted-space">
    <w:name w:val="apple-converted-space"/>
    <w:basedOn w:val="Numatytasispastraiposriftas"/>
    <w:rsid w:val="00EF3438"/>
  </w:style>
  <w:style w:type="paragraph" w:styleId="prastasiniatinklio">
    <w:name w:val="Normal (Web)"/>
    <w:basedOn w:val="prastasis"/>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oto-frank.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lt@roto-fran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2.xml><?xml version="1.0" encoding="utf-8"?>
<ds:datastoreItem xmlns:ds="http://schemas.openxmlformats.org/officeDocument/2006/customXml" ds:itemID="{F241FCA0-D3A0-4DA5-B029-1F476EC08680}">
  <ds:schemaRefs>
    <ds:schemaRef ds:uri="http://schemas.microsoft.com/sharepoint/v3/contenttype/forms"/>
  </ds:schemaRefs>
</ds:datastoreItem>
</file>

<file path=customXml/itemProps3.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4084</Words>
  <Characters>2329</Characters>
  <Application>Microsoft Office Word</Application>
  <DocSecurity>0</DocSecurity>
  <Lines>19</Lines>
  <Paragraphs>12</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6401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Stankeviciute, Giedre</cp:lastModifiedBy>
  <cp:revision>18</cp:revision>
  <cp:lastPrinted>2024-11-09T15:58:00Z</cp:lastPrinted>
  <dcterms:created xsi:type="dcterms:W3CDTF">2025-11-14T10:11:00Z</dcterms:created>
  <dcterms:modified xsi:type="dcterms:W3CDTF">2025-11-17T15:42:00Z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